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83" w:rsidRDefault="00600F69">
      <w:pPr>
        <w:pStyle w:val="MainTitle"/>
        <w:rPr>
          <w:sz w:val="36"/>
          <w:szCs w:val="16"/>
        </w:rPr>
      </w:pPr>
      <w:r>
        <w:rPr>
          <w:rFonts w:hint="eastAsia"/>
          <w:sz w:val="36"/>
          <w:szCs w:val="16"/>
        </w:rPr>
        <w:t>桐城市人民医院网络安全</w:t>
      </w:r>
      <w:r>
        <w:rPr>
          <w:sz w:val="36"/>
          <w:szCs w:val="16"/>
        </w:rPr>
        <w:t>等级保护测评</w:t>
      </w:r>
      <w:r w:rsidR="00002D1F">
        <w:rPr>
          <w:rFonts w:hint="eastAsia"/>
          <w:sz w:val="36"/>
          <w:szCs w:val="16"/>
        </w:rPr>
        <w:t>服务公开询价</w:t>
      </w:r>
    </w:p>
    <w:p w:rsidR="00EF1283" w:rsidRDefault="00600F69">
      <w:pPr>
        <w:pStyle w:val="1"/>
      </w:pPr>
      <w:r>
        <w:t>一、项目概述</w:t>
      </w:r>
    </w:p>
    <w:p w:rsidR="00EF1283" w:rsidRDefault="00600F69">
      <w:pPr>
        <w:pStyle w:val="3"/>
      </w:pPr>
      <w:r>
        <w:t>（一）政策依据</w:t>
      </w:r>
    </w:p>
    <w:p w:rsidR="00EF1283" w:rsidRDefault="00600F69">
      <w:r>
        <w:t>依据《信息安全等级保护管理办法》（公通字〔</w:t>
      </w:r>
      <w:r>
        <w:t>2007</w:t>
      </w:r>
      <w:r>
        <w:t>〕</w:t>
      </w:r>
      <w:r>
        <w:t>43</w:t>
      </w:r>
      <w:r>
        <w:t>号）第十四条规定，第三级信息系统应当每年至少进行一次等级测评。</w:t>
      </w:r>
      <w:r>
        <w:rPr>
          <w:rFonts w:hint="eastAsia"/>
        </w:rPr>
        <w:t>桐城市</w:t>
      </w:r>
      <w:r>
        <w:t>人民医院作为三级综合医院，其核心业务系统需严格遵循等保要求，保障网络安全与数据合规。</w:t>
      </w:r>
    </w:p>
    <w:p w:rsidR="00EF1283" w:rsidRDefault="00600F69">
      <w:pPr>
        <w:pStyle w:val="3"/>
      </w:pPr>
      <w:r>
        <w:t>（二）项目背景</w:t>
      </w:r>
    </w:p>
    <w:p w:rsidR="00EF1283" w:rsidRDefault="00600F69">
      <w:pPr>
        <w:pStyle w:val="3"/>
        <w:rPr>
          <w:b w:val="0"/>
          <w:bCs/>
          <w:sz w:val="22"/>
          <w:szCs w:val="22"/>
        </w:rPr>
      </w:pPr>
      <w:r>
        <w:rPr>
          <w:b w:val="0"/>
          <w:bCs/>
          <w:sz w:val="22"/>
          <w:szCs w:val="22"/>
        </w:rPr>
        <w:t>桐城市人民医院</w:t>
      </w:r>
      <w:r>
        <w:rPr>
          <w:b w:val="0"/>
          <w:bCs/>
          <w:sz w:val="22"/>
          <w:szCs w:val="22"/>
        </w:rPr>
        <w:t>2024</w:t>
      </w:r>
      <w:r>
        <w:rPr>
          <w:b w:val="0"/>
          <w:bCs/>
          <w:sz w:val="22"/>
          <w:szCs w:val="22"/>
        </w:rPr>
        <w:t>年通过的测评内容为两个三级系统【面向公众服务的信息系统（含医院信息集成平台、</w:t>
      </w:r>
      <w:r>
        <w:rPr>
          <w:b w:val="0"/>
          <w:bCs/>
          <w:sz w:val="22"/>
          <w:szCs w:val="22"/>
        </w:rPr>
        <w:t>HIS</w:t>
      </w:r>
      <w:r>
        <w:rPr>
          <w:b w:val="0"/>
          <w:bCs/>
          <w:sz w:val="22"/>
          <w:szCs w:val="22"/>
        </w:rPr>
        <w:t>）、互联网医院】和一个二级系统（官方网站）。根据等保要求，</w:t>
      </w:r>
      <w:r>
        <w:rPr>
          <w:b w:val="0"/>
          <w:bCs/>
          <w:sz w:val="22"/>
          <w:szCs w:val="22"/>
        </w:rPr>
        <w:t>2025</w:t>
      </w:r>
      <w:r>
        <w:rPr>
          <w:b w:val="0"/>
          <w:bCs/>
          <w:sz w:val="22"/>
          <w:szCs w:val="22"/>
        </w:rPr>
        <w:t>年需对两个三级系统进行年度测评，确保其安全防护能力持续符合三级标准。</w:t>
      </w:r>
    </w:p>
    <w:p w:rsidR="00EF1283" w:rsidRDefault="00600F69">
      <w:pPr>
        <w:pStyle w:val="3"/>
      </w:pPr>
      <w:r>
        <w:t>（三）项目目标</w:t>
      </w:r>
    </w:p>
    <w:p w:rsidR="00EF1283" w:rsidRDefault="00600F69">
      <w:r>
        <w:t>通过采购专业测评服务，对</w:t>
      </w:r>
      <w:r>
        <w:rPr>
          <w:rFonts w:hint="eastAsia"/>
        </w:rPr>
        <w:t>医院两</w:t>
      </w:r>
      <w:r>
        <w:t>个</w:t>
      </w:r>
      <w:r>
        <w:rPr>
          <w:rFonts w:hint="eastAsia"/>
        </w:rPr>
        <w:t>三</w:t>
      </w:r>
      <w:r>
        <w:t>级信息系统进行全面安全评估，出具合规的《测评报告》，并针对发现的问题提供整改建议，提升系统安全防护水平，满足公安部门监管要求。</w:t>
      </w:r>
    </w:p>
    <w:p w:rsidR="00EF1283" w:rsidRDefault="00600F69">
      <w:pPr>
        <w:pStyle w:val="2"/>
      </w:pPr>
      <w:r>
        <w:t>二、采购内容</w:t>
      </w:r>
    </w:p>
    <w:p w:rsidR="00EF1283" w:rsidRDefault="00600F69">
      <w:pPr>
        <w:pStyle w:val="3"/>
      </w:pPr>
      <w:r>
        <w:t>（一）测评对象与等级</w:t>
      </w:r>
    </w:p>
    <w:tbl>
      <w:tblPr>
        <w:tblStyle w:val="a4"/>
        <w:tblW w:w="4264" w:type="pct"/>
        <w:tblInd w:w="0" w:type="dxa"/>
        <w:tblCellMar>
          <w:top w:w="0" w:type="dxa"/>
          <w:bottom w:w="0" w:type="dxa"/>
        </w:tblCellMar>
        <w:tblLook w:val="04A0"/>
      </w:tblPr>
      <w:tblGrid>
        <w:gridCol w:w="3899"/>
        <w:gridCol w:w="1665"/>
        <w:gridCol w:w="1698"/>
      </w:tblGrid>
      <w:tr w:rsidR="00EF1283">
        <w:trPr>
          <w:trHeight w:val="756"/>
        </w:trPr>
        <w:tc>
          <w:tcPr>
            <w:tcW w:w="2683" w:type="pct"/>
          </w:tcPr>
          <w:p w:rsidR="00EF1283" w:rsidRDefault="00600F69">
            <w:r>
              <w:rPr>
                <w:b/>
                <w:bCs/>
              </w:rPr>
              <w:t>系统名称</w:t>
            </w:r>
          </w:p>
        </w:tc>
        <w:tc>
          <w:tcPr>
            <w:tcW w:w="1146" w:type="pct"/>
          </w:tcPr>
          <w:p w:rsidR="00EF1283" w:rsidRDefault="00600F69">
            <w:r>
              <w:rPr>
                <w:b/>
                <w:bCs/>
              </w:rPr>
              <w:t>安全保护等级</w:t>
            </w:r>
          </w:p>
        </w:tc>
        <w:tc>
          <w:tcPr>
            <w:tcW w:w="1169" w:type="pct"/>
          </w:tcPr>
          <w:p w:rsidR="00EF1283" w:rsidRDefault="00600F69">
            <w:r>
              <w:rPr>
                <w:b/>
                <w:bCs/>
              </w:rPr>
              <w:t>测评次数</w:t>
            </w:r>
          </w:p>
        </w:tc>
      </w:tr>
      <w:tr w:rsidR="00EF1283">
        <w:trPr>
          <w:trHeight w:val="756"/>
        </w:trPr>
        <w:tc>
          <w:tcPr>
            <w:tcW w:w="2683" w:type="pct"/>
          </w:tcPr>
          <w:p w:rsidR="00EF1283" w:rsidRDefault="00600F69">
            <w:r>
              <w:t>面向公众服务的信息系统</w:t>
            </w:r>
            <w:r>
              <w:t>（含医院信息集成平台、</w:t>
            </w:r>
            <w:r>
              <w:t>HIS</w:t>
            </w:r>
            <w:r>
              <w:t>）</w:t>
            </w:r>
          </w:p>
        </w:tc>
        <w:tc>
          <w:tcPr>
            <w:tcW w:w="1146" w:type="pct"/>
          </w:tcPr>
          <w:p w:rsidR="00EF1283" w:rsidRDefault="00600F69">
            <w:r>
              <w:t>三级</w:t>
            </w:r>
          </w:p>
        </w:tc>
        <w:tc>
          <w:tcPr>
            <w:tcW w:w="1169" w:type="pct"/>
          </w:tcPr>
          <w:p w:rsidR="00EF1283" w:rsidRDefault="00600F69">
            <w:r>
              <w:t>1</w:t>
            </w:r>
            <w:r>
              <w:t>次</w:t>
            </w:r>
          </w:p>
        </w:tc>
      </w:tr>
      <w:tr w:rsidR="00EF1283">
        <w:trPr>
          <w:trHeight w:val="756"/>
        </w:trPr>
        <w:tc>
          <w:tcPr>
            <w:tcW w:w="2683" w:type="pct"/>
          </w:tcPr>
          <w:p w:rsidR="00EF1283" w:rsidRDefault="00600F69">
            <w:r>
              <w:t>互联网医院</w:t>
            </w:r>
            <w:r>
              <w:rPr>
                <w:rFonts w:hint="eastAsia"/>
              </w:rPr>
              <w:t>系统</w:t>
            </w:r>
          </w:p>
        </w:tc>
        <w:tc>
          <w:tcPr>
            <w:tcW w:w="1146" w:type="pct"/>
          </w:tcPr>
          <w:p w:rsidR="00EF1283" w:rsidRDefault="00600F69">
            <w:r>
              <w:t>三级</w:t>
            </w:r>
          </w:p>
        </w:tc>
        <w:tc>
          <w:tcPr>
            <w:tcW w:w="1169" w:type="pct"/>
          </w:tcPr>
          <w:p w:rsidR="00EF1283" w:rsidRDefault="00600F69">
            <w:r>
              <w:t>1</w:t>
            </w:r>
            <w:r>
              <w:t>次</w:t>
            </w:r>
          </w:p>
        </w:tc>
      </w:tr>
    </w:tbl>
    <w:p w:rsidR="00EF1283" w:rsidRDefault="00600F69">
      <w:pPr>
        <w:pStyle w:val="3"/>
        <w:rPr>
          <w:b w:val="0"/>
          <w:bCs/>
          <w:sz w:val="22"/>
          <w:szCs w:val="22"/>
        </w:rPr>
      </w:pPr>
      <w:r>
        <w:rPr>
          <w:rFonts w:hint="eastAsia"/>
          <w:b w:val="0"/>
          <w:bCs/>
          <w:sz w:val="22"/>
          <w:szCs w:val="22"/>
        </w:rPr>
        <w:lastRenderedPageBreak/>
        <w:t>采购方式：公开招标</w:t>
      </w:r>
    </w:p>
    <w:p w:rsidR="00EF1283" w:rsidRDefault="00600F69">
      <w:pPr>
        <w:pStyle w:val="3"/>
        <w:rPr>
          <w:b w:val="0"/>
          <w:bCs/>
          <w:sz w:val="22"/>
          <w:szCs w:val="22"/>
        </w:rPr>
      </w:pPr>
      <w:r>
        <w:rPr>
          <w:rFonts w:hint="eastAsia"/>
          <w:b w:val="0"/>
          <w:bCs/>
          <w:sz w:val="22"/>
          <w:szCs w:val="22"/>
        </w:rPr>
        <w:t>最高限价</w:t>
      </w:r>
      <w:r>
        <w:rPr>
          <w:rFonts w:hint="eastAsia"/>
          <w:b w:val="0"/>
          <w:bCs/>
          <w:sz w:val="22"/>
          <w:szCs w:val="22"/>
        </w:rPr>
        <w:t>(</w:t>
      </w:r>
      <w:r>
        <w:rPr>
          <w:rFonts w:hint="eastAsia"/>
          <w:b w:val="0"/>
          <w:bCs/>
          <w:sz w:val="22"/>
          <w:szCs w:val="22"/>
        </w:rPr>
        <w:t>人民币</w:t>
      </w:r>
      <w:r>
        <w:rPr>
          <w:rFonts w:hint="eastAsia"/>
          <w:b w:val="0"/>
          <w:bCs/>
          <w:sz w:val="22"/>
          <w:szCs w:val="22"/>
        </w:rPr>
        <w:t>)</w:t>
      </w:r>
      <w:r>
        <w:rPr>
          <w:rFonts w:hint="eastAsia"/>
          <w:b w:val="0"/>
          <w:bCs/>
          <w:sz w:val="22"/>
          <w:szCs w:val="22"/>
        </w:rPr>
        <w:t>：</w:t>
      </w:r>
      <w:r>
        <w:rPr>
          <w:rFonts w:hint="eastAsia"/>
          <w:b w:val="0"/>
          <w:bCs/>
          <w:sz w:val="22"/>
          <w:szCs w:val="22"/>
        </w:rPr>
        <w:t>5</w:t>
      </w:r>
      <w:r>
        <w:rPr>
          <w:rFonts w:hint="eastAsia"/>
          <w:b w:val="0"/>
          <w:bCs/>
          <w:sz w:val="22"/>
          <w:szCs w:val="22"/>
        </w:rPr>
        <w:t>万</w:t>
      </w:r>
      <w:r>
        <w:rPr>
          <w:rFonts w:hint="eastAsia"/>
          <w:b w:val="0"/>
          <w:bCs/>
          <w:sz w:val="22"/>
          <w:szCs w:val="22"/>
        </w:rPr>
        <w:t>。</w:t>
      </w:r>
    </w:p>
    <w:p w:rsidR="00EF1283" w:rsidRDefault="00600F69">
      <w:pPr>
        <w:pStyle w:val="3"/>
      </w:pPr>
      <w:r>
        <w:t>（二）服务范围</w:t>
      </w:r>
    </w:p>
    <w:p w:rsidR="00EF1283" w:rsidRDefault="00600F69">
      <w:pPr>
        <w:numPr>
          <w:ilvl w:val="0"/>
          <w:numId w:val="1"/>
        </w:numPr>
      </w:pPr>
      <w:r>
        <w:t>依据《信息安全技术</w:t>
      </w:r>
      <w:r>
        <w:t xml:space="preserve"> </w:t>
      </w:r>
      <w:r>
        <w:t>网络安全等级保护基本要求》（</w:t>
      </w:r>
      <w:r>
        <w:t>GB/T 22239-2019</w:t>
      </w:r>
      <w:r>
        <w:t>）和《信息安全技术</w:t>
      </w:r>
      <w:r>
        <w:t xml:space="preserve"> </w:t>
      </w:r>
      <w:r>
        <w:t>网络安全等级保护测评要求》（</w:t>
      </w:r>
      <w:r>
        <w:t>GB/T 28448-2019</w:t>
      </w:r>
      <w:r>
        <w:t>），对</w:t>
      </w:r>
      <w:r>
        <w:rPr>
          <w:rFonts w:hint="eastAsia"/>
        </w:rPr>
        <w:t>两</w:t>
      </w:r>
      <w:r>
        <w:t>个</w:t>
      </w:r>
      <w:r>
        <w:rPr>
          <w:rFonts w:hint="eastAsia"/>
        </w:rPr>
        <w:t>三</w:t>
      </w:r>
      <w:r>
        <w:t>级系统进行安全技术测评（包括物理安全、网络安全、主机安全、应用安全、数据安全）和安全管理测评（包括安全管理制度、安全管理机构、人员安全管理、系统建设管理、系统运维管理）。</w:t>
      </w:r>
    </w:p>
    <w:p w:rsidR="00EF1283" w:rsidRDefault="00600F69">
      <w:pPr>
        <w:numPr>
          <w:ilvl w:val="0"/>
          <w:numId w:val="1"/>
        </w:numPr>
      </w:pPr>
      <w:r>
        <w:t>出具《网络安全等级保护测评报告》，并针对测评发现的问题提供详细的整改建议方案。</w:t>
      </w:r>
    </w:p>
    <w:p w:rsidR="00EF1283" w:rsidRDefault="00600F69">
      <w:pPr>
        <w:numPr>
          <w:ilvl w:val="0"/>
          <w:numId w:val="1"/>
        </w:numPr>
      </w:pPr>
      <w:r>
        <w:t>配合</w:t>
      </w:r>
      <w:r>
        <w:rPr>
          <w:rFonts w:hint="eastAsia"/>
        </w:rPr>
        <w:t>医院</w:t>
      </w:r>
      <w:r>
        <w:t>完成整改后的复测工作，确保系统通过公安部门备案审核。</w:t>
      </w:r>
    </w:p>
    <w:p w:rsidR="00EF1283" w:rsidRDefault="00600F69">
      <w:pPr>
        <w:pStyle w:val="2"/>
      </w:pPr>
      <w:r>
        <w:t>三、技术要求</w:t>
      </w:r>
    </w:p>
    <w:p w:rsidR="00EF1283" w:rsidRDefault="00600F69">
      <w:pPr>
        <w:pStyle w:val="3"/>
      </w:pPr>
      <w:r>
        <w:t>（一）测评标准</w:t>
      </w:r>
    </w:p>
    <w:p w:rsidR="00EF1283" w:rsidRDefault="00600F69">
      <w:r>
        <w:t>严格遵循等保</w:t>
      </w:r>
      <w:r>
        <w:t>2.0</w:t>
      </w:r>
      <w:r>
        <w:t>标准体系，包括但不限于：</w:t>
      </w:r>
    </w:p>
    <w:p w:rsidR="00EF1283" w:rsidRDefault="00600F69">
      <w:pPr>
        <w:numPr>
          <w:ilvl w:val="0"/>
          <w:numId w:val="2"/>
        </w:numPr>
      </w:pPr>
      <w:r>
        <w:t>《信息安全技术</w:t>
      </w:r>
      <w:r>
        <w:t xml:space="preserve"> </w:t>
      </w:r>
      <w:r>
        <w:t>网络安全等级保护基本要求》（</w:t>
      </w:r>
      <w:r>
        <w:t>GB/T 22239-2019</w:t>
      </w:r>
      <w:r>
        <w:t>）</w:t>
      </w:r>
    </w:p>
    <w:p w:rsidR="00EF1283" w:rsidRDefault="00600F69">
      <w:pPr>
        <w:numPr>
          <w:ilvl w:val="0"/>
          <w:numId w:val="2"/>
        </w:numPr>
      </w:pPr>
      <w:r>
        <w:t>《信息安全技术</w:t>
      </w:r>
      <w:r>
        <w:t xml:space="preserve"> </w:t>
      </w:r>
      <w:r>
        <w:t>网络安全等级保护测评要求》（</w:t>
      </w:r>
      <w:r>
        <w:t>GB/T 28448-2019</w:t>
      </w:r>
      <w:r>
        <w:t>）</w:t>
      </w:r>
    </w:p>
    <w:p w:rsidR="00EF1283" w:rsidRDefault="00600F69">
      <w:pPr>
        <w:numPr>
          <w:ilvl w:val="0"/>
          <w:numId w:val="2"/>
        </w:numPr>
      </w:pPr>
      <w:r>
        <w:t>《信息安全技术</w:t>
      </w:r>
      <w:r>
        <w:t xml:space="preserve"> </w:t>
      </w:r>
      <w:r>
        <w:t>网络安全等级保护测评过程指南》（</w:t>
      </w:r>
      <w:r>
        <w:t>GB/T 28449-2018</w:t>
      </w:r>
      <w:r>
        <w:t>）</w:t>
      </w:r>
    </w:p>
    <w:p w:rsidR="00EF1283" w:rsidRDefault="00600F69">
      <w:pPr>
        <w:pStyle w:val="3"/>
      </w:pPr>
      <w:r>
        <w:t>（二）测评内容</w:t>
      </w:r>
    </w:p>
    <w:p w:rsidR="00EF1283" w:rsidRDefault="00600F69">
      <w:pPr>
        <w:numPr>
          <w:ilvl w:val="0"/>
          <w:numId w:val="3"/>
        </w:numPr>
      </w:pPr>
      <w:r>
        <w:rPr>
          <w:b/>
          <w:bCs/>
        </w:rPr>
        <w:t>安全物理环境</w:t>
      </w:r>
      <w:r>
        <w:t>：检查机房的物理访问控制、防火</w:t>
      </w:r>
      <w:r>
        <w:t>、防水、防雷、电力供应等措施是否符合三级要求。</w:t>
      </w:r>
    </w:p>
    <w:p w:rsidR="00EF1283" w:rsidRDefault="00600F69">
      <w:pPr>
        <w:numPr>
          <w:ilvl w:val="0"/>
          <w:numId w:val="3"/>
        </w:numPr>
      </w:pPr>
      <w:r>
        <w:rPr>
          <w:b/>
          <w:bCs/>
        </w:rPr>
        <w:t>安全通信网络</w:t>
      </w:r>
      <w:r>
        <w:t>：评估网络架构的合理性、网络设备的配置策略、通信传输的保密性和完整性等。</w:t>
      </w:r>
    </w:p>
    <w:p w:rsidR="00EF1283" w:rsidRDefault="00600F69">
      <w:pPr>
        <w:numPr>
          <w:ilvl w:val="0"/>
          <w:numId w:val="3"/>
        </w:numPr>
      </w:pPr>
      <w:r>
        <w:rPr>
          <w:b/>
          <w:bCs/>
        </w:rPr>
        <w:t>安全区域边界</w:t>
      </w:r>
      <w:r>
        <w:t>：核查边界防护设备的部署与策略配置，确保边界访问控制、入侵防范、恶意代码防范等措施有效。</w:t>
      </w:r>
    </w:p>
    <w:p w:rsidR="00EF1283" w:rsidRDefault="00600F69">
      <w:pPr>
        <w:numPr>
          <w:ilvl w:val="0"/>
          <w:numId w:val="3"/>
        </w:numPr>
      </w:pPr>
      <w:r>
        <w:rPr>
          <w:b/>
          <w:bCs/>
        </w:rPr>
        <w:lastRenderedPageBreak/>
        <w:t>安全计算环境</w:t>
      </w:r>
      <w:r>
        <w:t>：检测主机操作系统、数据库管理系统、应用系统的安全配置，漏洞扫描与修复情况，以及访问控制、审计日志等功能的完整性。</w:t>
      </w:r>
    </w:p>
    <w:p w:rsidR="00EF1283" w:rsidRDefault="00600F69">
      <w:pPr>
        <w:numPr>
          <w:ilvl w:val="0"/>
          <w:numId w:val="3"/>
        </w:numPr>
      </w:pPr>
      <w:r>
        <w:rPr>
          <w:b/>
          <w:bCs/>
        </w:rPr>
        <w:t>安全管理中心</w:t>
      </w:r>
      <w:r>
        <w:t>：验证安全管理中心的集中管控能力，包括安全策略下发、日志分析、事件响应等。</w:t>
      </w:r>
    </w:p>
    <w:p w:rsidR="00EF1283" w:rsidRDefault="00600F69">
      <w:pPr>
        <w:numPr>
          <w:ilvl w:val="0"/>
          <w:numId w:val="3"/>
        </w:numPr>
      </w:pPr>
      <w:r>
        <w:rPr>
          <w:b/>
          <w:bCs/>
        </w:rPr>
        <w:t>安全管理制度</w:t>
      </w:r>
      <w:r>
        <w:t>：审查医院现有的安全管理制度文件，评估制度的完备性、适用性和执行情况。</w:t>
      </w:r>
    </w:p>
    <w:p w:rsidR="00EF1283" w:rsidRDefault="00600F69">
      <w:pPr>
        <w:numPr>
          <w:ilvl w:val="0"/>
          <w:numId w:val="3"/>
        </w:numPr>
      </w:pPr>
      <w:r>
        <w:rPr>
          <w:b/>
          <w:bCs/>
        </w:rPr>
        <w:t>安全管理机构</w:t>
      </w:r>
      <w:r>
        <w:t>：检查安全管理机构的设置、人员分工及职责落实情况。</w:t>
      </w:r>
    </w:p>
    <w:p w:rsidR="00EF1283" w:rsidRDefault="00600F69">
      <w:pPr>
        <w:numPr>
          <w:ilvl w:val="0"/>
          <w:numId w:val="3"/>
        </w:numPr>
      </w:pPr>
      <w:r>
        <w:rPr>
          <w:b/>
          <w:bCs/>
        </w:rPr>
        <w:t>人员安全管理</w:t>
      </w:r>
      <w:r>
        <w:t>：评估人员录用、离岗、培训等环节的安全管理措施。</w:t>
      </w:r>
    </w:p>
    <w:p w:rsidR="00EF1283" w:rsidRDefault="00600F69">
      <w:pPr>
        <w:numPr>
          <w:ilvl w:val="0"/>
          <w:numId w:val="3"/>
        </w:numPr>
      </w:pPr>
      <w:r>
        <w:rPr>
          <w:b/>
          <w:bCs/>
        </w:rPr>
        <w:t>系统建设管理</w:t>
      </w:r>
      <w:r>
        <w:t>：核查系统定级备案、安全方案设计、产品采购与使用、工程实施、测试验收等过程的合规性。</w:t>
      </w:r>
    </w:p>
    <w:p w:rsidR="00EF1283" w:rsidRDefault="00600F69">
      <w:pPr>
        <w:numPr>
          <w:ilvl w:val="0"/>
          <w:numId w:val="3"/>
        </w:numPr>
      </w:pPr>
      <w:r>
        <w:rPr>
          <w:b/>
          <w:bCs/>
        </w:rPr>
        <w:t>系统运维管理</w:t>
      </w:r>
      <w:r>
        <w:t>：审查系统日常运维管理流程，包括配置管理、漏洞管理、事件处置、应急预案等。</w:t>
      </w:r>
    </w:p>
    <w:p w:rsidR="00EF1283" w:rsidRDefault="00600F69">
      <w:pPr>
        <w:pStyle w:val="2"/>
      </w:pPr>
      <w:r>
        <w:t>四、服务要求</w:t>
      </w:r>
    </w:p>
    <w:p w:rsidR="00EF1283" w:rsidRDefault="00600F69">
      <w:pPr>
        <w:pStyle w:val="3"/>
      </w:pPr>
      <w:r>
        <w:t>（一）测评流程</w:t>
      </w:r>
    </w:p>
    <w:p w:rsidR="00EF1283" w:rsidRDefault="00600F69">
      <w:pPr>
        <w:numPr>
          <w:ilvl w:val="0"/>
          <w:numId w:val="4"/>
        </w:numPr>
      </w:pPr>
      <w:r>
        <w:rPr>
          <w:b/>
          <w:bCs/>
        </w:rPr>
        <w:t>项目启动阶段</w:t>
      </w:r>
      <w:r>
        <w:t>：签订合同后，供应商应在</w:t>
      </w:r>
      <w:r>
        <w:t>5</w:t>
      </w:r>
      <w:r>
        <w:t>个工作日内组建项目团队，与医院对接并制定详细的测评方案，明确</w:t>
      </w:r>
      <w:r>
        <w:t>测评范围、方法、时间安排等。</w:t>
      </w:r>
    </w:p>
    <w:p w:rsidR="00EF1283" w:rsidRDefault="00600F69">
      <w:pPr>
        <w:numPr>
          <w:ilvl w:val="0"/>
          <w:numId w:val="4"/>
        </w:numPr>
      </w:pPr>
      <w:r>
        <w:rPr>
          <w:b/>
          <w:bCs/>
        </w:rPr>
        <w:t>现场测评阶段</w:t>
      </w:r>
      <w:r>
        <w:t>：</w:t>
      </w:r>
    </w:p>
    <w:p w:rsidR="00EF1283" w:rsidRDefault="00600F69">
      <w:pPr>
        <w:numPr>
          <w:ilvl w:val="1"/>
          <w:numId w:val="2"/>
        </w:numPr>
      </w:pPr>
      <w:r>
        <w:rPr>
          <w:rFonts w:hint="eastAsia"/>
        </w:rPr>
        <w:t>医院</w:t>
      </w:r>
      <w:r>
        <w:t>提前</w:t>
      </w:r>
      <w:r>
        <w:t>10</w:t>
      </w:r>
      <w:r>
        <w:t>天通知供应商进场时间。</w:t>
      </w:r>
    </w:p>
    <w:p w:rsidR="00EF1283" w:rsidRDefault="00600F69">
      <w:pPr>
        <w:numPr>
          <w:ilvl w:val="1"/>
          <w:numId w:val="2"/>
        </w:numPr>
      </w:pPr>
      <w:r>
        <w:t>供应商进场后</w:t>
      </w:r>
      <w:r>
        <w:t>20</w:t>
      </w:r>
      <w:r>
        <w:t>个工作日内完成现场测评工作，包括数据采集、漏洞扫描、策略核查、人员访谈等。</w:t>
      </w:r>
    </w:p>
    <w:p w:rsidR="00EF1283" w:rsidRDefault="00600F69">
      <w:pPr>
        <w:numPr>
          <w:ilvl w:val="1"/>
          <w:numId w:val="2"/>
        </w:numPr>
      </w:pPr>
      <w:r>
        <w:t>现场测评结束后</w:t>
      </w:r>
      <w:r>
        <w:t>5</w:t>
      </w:r>
      <w:r>
        <w:t>个工作日内，向医院提交《整改建议报告》，明确列出系统存在的安全问题及整改措施。</w:t>
      </w:r>
    </w:p>
    <w:p w:rsidR="00EF1283" w:rsidRDefault="00600F69">
      <w:pPr>
        <w:numPr>
          <w:ilvl w:val="0"/>
          <w:numId w:val="4"/>
        </w:numPr>
      </w:pPr>
      <w:r>
        <w:rPr>
          <w:b/>
          <w:bCs/>
        </w:rPr>
        <w:t>整改与复测阶段</w:t>
      </w:r>
      <w:r>
        <w:t>：</w:t>
      </w:r>
    </w:p>
    <w:p w:rsidR="00EF1283" w:rsidRDefault="00600F69">
      <w:pPr>
        <w:numPr>
          <w:ilvl w:val="1"/>
          <w:numId w:val="2"/>
        </w:numPr>
      </w:pPr>
      <w:r>
        <w:rPr>
          <w:rFonts w:hint="eastAsia"/>
        </w:rPr>
        <w:t>医院</w:t>
      </w:r>
      <w:r>
        <w:t>根据整改建议进行系统整改，整改完成后通知供应商进行复测。</w:t>
      </w:r>
    </w:p>
    <w:p w:rsidR="00EF1283" w:rsidRDefault="00600F69">
      <w:pPr>
        <w:numPr>
          <w:ilvl w:val="1"/>
          <w:numId w:val="2"/>
        </w:numPr>
      </w:pPr>
      <w:r>
        <w:t>供应商在收到复测通知后</w:t>
      </w:r>
      <w:r>
        <w:t>10</w:t>
      </w:r>
      <w:r>
        <w:t>个工作日内完成复测工作，并在复测结束后</w:t>
      </w:r>
      <w:r>
        <w:t>10</w:t>
      </w:r>
      <w:r>
        <w:t>个工作日内出具正式的《网络安全等级保护测评报告》。</w:t>
      </w:r>
    </w:p>
    <w:p w:rsidR="00EF1283" w:rsidRDefault="00600F69">
      <w:pPr>
        <w:numPr>
          <w:ilvl w:val="0"/>
          <w:numId w:val="4"/>
        </w:numPr>
      </w:pPr>
      <w:r>
        <w:rPr>
          <w:b/>
          <w:bCs/>
        </w:rPr>
        <w:t>验收阶段</w:t>
      </w:r>
      <w:r>
        <w:t>：供应商协助</w:t>
      </w:r>
      <w:r>
        <w:rPr>
          <w:rFonts w:hint="eastAsia"/>
        </w:rPr>
        <w:t>医院</w:t>
      </w:r>
      <w:r>
        <w:t>将测评报告提交至公</w:t>
      </w:r>
      <w:r>
        <w:t>安部门备案，并配合完成验收工作。</w:t>
      </w:r>
    </w:p>
    <w:p w:rsidR="00EF1283" w:rsidRDefault="00600F69">
      <w:pPr>
        <w:pStyle w:val="3"/>
      </w:pPr>
      <w:r>
        <w:lastRenderedPageBreak/>
        <w:t>（二）售后服务</w:t>
      </w:r>
    </w:p>
    <w:p w:rsidR="00EF1283" w:rsidRDefault="00600F69">
      <w:pPr>
        <w:numPr>
          <w:ilvl w:val="0"/>
          <w:numId w:val="5"/>
        </w:numPr>
      </w:pPr>
      <w:r>
        <w:t>提供为期</w:t>
      </w:r>
      <w:r>
        <w:t>1</w:t>
      </w:r>
      <w:r>
        <w:t>年的免费安全咨询服务，解答</w:t>
      </w:r>
      <w:r>
        <w:rPr>
          <w:rFonts w:hint="eastAsia"/>
        </w:rPr>
        <w:t>甲方</w:t>
      </w:r>
      <w:r>
        <w:t>在网络安全方面的疑问，提供技术支持和建议。</w:t>
      </w:r>
    </w:p>
    <w:p w:rsidR="00EF1283" w:rsidRDefault="00600F69">
      <w:pPr>
        <w:numPr>
          <w:ilvl w:val="0"/>
          <w:numId w:val="5"/>
        </w:numPr>
      </w:pPr>
      <w:r>
        <w:t>对于测评过程中发现的漏洞和安全问题，在整改完成后</w:t>
      </w:r>
      <w:r>
        <w:t>1</w:t>
      </w:r>
      <w:r>
        <w:t>年内，免费提供远程技术支持，协助</w:t>
      </w:r>
      <w:r>
        <w:rPr>
          <w:rFonts w:hint="eastAsia"/>
        </w:rPr>
        <w:t>甲方</w:t>
      </w:r>
      <w:r>
        <w:t>进行漏洞修复和安全加固。</w:t>
      </w:r>
    </w:p>
    <w:p w:rsidR="00EF1283" w:rsidRDefault="00600F69">
      <w:pPr>
        <w:numPr>
          <w:ilvl w:val="0"/>
          <w:numId w:val="5"/>
        </w:numPr>
      </w:pPr>
      <w:r>
        <w:t>若</w:t>
      </w:r>
      <w:r>
        <w:rPr>
          <w:rFonts w:hint="eastAsia"/>
        </w:rPr>
        <w:t>甲方</w:t>
      </w:r>
      <w:r>
        <w:t>在服务期内进行系统升级、架构调整或发生安全事件，供应商应在接到通知后</w:t>
      </w:r>
      <w:r>
        <w:t>24</w:t>
      </w:r>
      <w:r>
        <w:t>小时内响应，提供紧急技术支持。</w:t>
      </w:r>
    </w:p>
    <w:p w:rsidR="00EF1283" w:rsidRDefault="00600F69">
      <w:pPr>
        <w:numPr>
          <w:ilvl w:val="0"/>
          <w:numId w:val="5"/>
        </w:numPr>
      </w:pPr>
      <w:r>
        <w:rPr>
          <w:rFonts w:hint="eastAsia"/>
        </w:rPr>
        <w:t>提供为期</w:t>
      </w:r>
      <w:r>
        <w:rPr>
          <w:rFonts w:hint="eastAsia"/>
        </w:rPr>
        <w:t>1</w:t>
      </w:r>
      <w:r>
        <w:rPr>
          <w:rFonts w:hint="eastAsia"/>
        </w:rPr>
        <w:t>次的免费网络安全知识课程培训服务，加强巩固甲方工作人员网络安全相关知识，为防护网络安全信息泄漏保驾护航</w:t>
      </w:r>
      <w:r>
        <w:rPr>
          <w:rFonts w:hint="eastAsia"/>
        </w:rPr>
        <w:t>。</w:t>
      </w:r>
    </w:p>
    <w:p w:rsidR="00EF1283" w:rsidRDefault="00600F69">
      <w:r>
        <w:t>（三）保密要求</w:t>
      </w:r>
    </w:p>
    <w:p w:rsidR="00EF1283" w:rsidRDefault="00600F69">
      <w:r>
        <w:t>供应商应对测评过程中获取的</w:t>
      </w:r>
      <w:r>
        <w:rPr>
          <w:rFonts w:hint="eastAsia"/>
        </w:rPr>
        <w:t>医院</w:t>
      </w:r>
      <w:r>
        <w:t>敏感信息（包括但不限于业务数据、系统架构、用户信息等）严格保密，不得向任何第三方披露。在项目结束后，应将所有涉及</w:t>
      </w:r>
      <w:r>
        <w:rPr>
          <w:rFonts w:hint="eastAsia"/>
        </w:rPr>
        <w:t>甲方</w:t>
      </w:r>
      <w:r>
        <w:t>的资料（包括纸质文档、电子数据等）进行销毁或归还，确保信息安全。</w:t>
      </w:r>
    </w:p>
    <w:p w:rsidR="00EF1283" w:rsidRDefault="00600F69">
      <w:pPr>
        <w:pStyle w:val="2"/>
      </w:pPr>
      <w:r>
        <w:t>五、商务要求</w:t>
      </w:r>
    </w:p>
    <w:p w:rsidR="00EF1283" w:rsidRDefault="00600F69">
      <w:pPr>
        <w:pStyle w:val="3"/>
      </w:pPr>
      <w:r>
        <w:t>（一）合同期限</w:t>
      </w:r>
    </w:p>
    <w:p w:rsidR="00EF1283" w:rsidRDefault="00600F69">
      <w:pPr>
        <w:pStyle w:val="3"/>
        <w:rPr>
          <w:b w:val="0"/>
          <w:bCs/>
          <w:sz w:val="22"/>
          <w:szCs w:val="22"/>
        </w:rPr>
      </w:pPr>
      <w:r>
        <w:rPr>
          <w:rFonts w:hint="eastAsia"/>
          <w:b w:val="0"/>
          <w:bCs/>
          <w:sz w:val="22"/>
          <w:szCs w:val="22"/>
        </w:rPr>
        <w:t>服务期</w:t>
      </w:r>
      <w:r>
        <w:rPr>
          <w:rFonts w:hint="eastAsia"/>
          <w:b w:val="0"/>
          <w:bCs/>
          <w:sz w:val="22"/>
          <w:szCs w:val="22"/>
        </w:rPr>
        <w:t>1</w:t>
      </w:r>
      <w:r>
        <w:rPr>
          <w:rFonts w:hint="eastAsia"/>
          <w:b w:val="0"/>
          <w:bCs/>
          <w:sz w:val="22"/>
          <w:szCs w:val="22"/>
        </w:rPr>
        <w:t>年。</w:t>
      </w:r>
    </w:p>
    <w:p w:rsidR="00EF1283" w:rsidRDefault="00600F69">
      <w:pPr>
        <w:pStyle w:val="3"/>
      </w:pPr>
      <w:r>
        <w:t>（二）付款方式</w:t>
      </w:r>
    </w:p>
    <w:p w:rsidR="00EF1283" w:rsidRDefault="00600F69">
      <w:pPr>
        <w:numPr>
          <w:ilvl w:val="0"/>
          <w:numId w:val="6"/>
        </w:numPr>
      </w:pPr>
      <w:r>
        <w:t>合同签订后，</w:t>
      </w:r>
      <w:r>
        <w:rPr>
          <w:rFonts w:hint="eastAsia"/>
        </w:rPr>
        <w:t>甲方</w:t>
      </w:r>
      <w:r>
        <w:t>在</w:t>
      </w:r>
      <w:r>
        <w:t>10</w:t>
      </w:r>
      <w:r>
        <w:t>个工作日内支付合同金额的</w:t>
      </w:r>
      <w:r>
        <w:t>50%</w:t>
      </w:r>
      <w:r>
        <w:t>作为预付款。</w:t>
      </w:r>
    </w:p>
    <w:p w:rsidR="00EF1283" w:rsidRDefault="00600F69">
      <w:pPr>
        <w:numPr>
          <w:ilvl w:val="0"/>
          <w:numId w:val="6"/>
        </w:numPr>
      </w:pPr>
      <w:r>
        <w:t>供应商完成现场测评并提交《整改建议报告》后，医院在</w:t>
      </w:r>
      <w:r>
        <w:t>10</w:t>
      </w:r>
      <w:r>
        <w:t>个工作日内支付合同金额的</w:t>
      </w:r>
      <w:r>
        <w:t>30%</w:t>
      </w:r>
      <w:r>
        <w:rPr>
          <w:rFonts w:hint="eastAsia"/>
        </w:rPr>
        <w:t>。</w:t>
      </w:r>
    </w:p>
    <w:p w:rsidR="00EF1283" w:rsidRDefault="00600F69">
      <w:pPr>
        <w:numPr>
          <w:ilvl w:val="0"/>
          <w:numId w:val="6"/>
        </w:numPr>
      </w:pPr>
      <w:r>
        <w:t>供应商完成复测并提交正式《测评报告》，且测评结果通过公安部门备案审核后，医院在</w:t>
      </w:r>
      <w:r>
        <w:t>10</w:t>
      </w:r>
      <w:r>
        <w:t>个工作日内支付合同金额的</w:t>
      </w:r>
      <w:r>
        <w:t>20%</w:t>
      </w:r>
      <w:r>
        <w:t>。</w:t>
      </w:r>
    </w:p>
    <w:p w:rsidR="00EF1283" w:rsidRDefault="00600F69">
      <w:pPr>
        <w:pStyle w:val="3"/>
      </w:pPr>
      <w:r>
        <w:t>（三）违约责任</w:t>
      </w:r>
    </w:p>
    <w:p w:rsidR="00EF1283" w:rsidRDefault="00600F69">
      <w:pPr>
        <w:numPr>
          <w:ilvl w:val="0"/>
          <w:numId w:val="7"/>
        </w:numPr>
      </w:pPr>
      <w:r>
        <w:lastRenderedPageBreak/>
        <w:t>若供应商未按合同约定的时间和质量要求完成测评工作，每逾期一天，应按照合同金额的</w:t>
      </w:r>
      <w:r>
        <w:t>0.1%</w:t>
      </w:r>
      <w:r>
        <w:t>向医院支付违约金；逾期超过</w:t>
      </w:r>
      <w:r>
        <w:t>30</w:t>
      </w:r>
      <w:r>
        <w:t>天的，医院有权解除合同，并要求供应商承担相应的赔偿责任。</w:t>
      </w:r>
    </w:p>
    <w:p w:rsidR="00EF1283" w:rsidRDefault="00600F69">
      <w:pPr>
        <w:numPr>
          <w:ilvl w:val="0"/>
          <w:numId w:val="7"/>
        </w:numPr>
      </w:pPr>
      <w:r>
        <w:t>若医院未按合同约定支付款项，每逾期一天，应按照未支付金额的</w:t>
      </w:r>
      <w:r>
        <w:t>0.1%</w:t>
      </w:r>
      <w:r>
        <w:t>向供应商支付违约金。</w:t>
      </w:r>
    </w:p>
    <w:p w:rsidR="00EF1283" w:rsidRDefault="00600F69">
      <w:pPr>
        <w:pStyle w:val="3"/>
      </w:pPr>
      <w:r>
        <w:t>（四）争议解决</w:t>
      </w:r>
    </w:p>
    <w:p w:rsidR="00EF1283" w:rsidRDefault="00600F69">
      <w:r>
        <w:t>双方在履行合同过程中如发生争议，应首先通过友好协商解决；协商不成的，任何一方均有权向合同签订地有管辖权</w:t>
      </w:r>
      <w:r>
        <w:t>的人民法院提起诉讼。</w:t>
      </w:r>
    </w:p>
    <w:p w:rsidR="00EF1283" w:rsidRDefault="00600F69">
      <w:pPr>
        <w:pStyle w:val="2"/>
      </w:pPr>
      <w:r>
        <w:t>六、供应商资质要求</w:t>
      </w:r>
    </w:p>
    <w:p w:rsidR="00EF1283" w:rsidRDefault="00600F69">
      <w:pPr>
        <w:numPr>
          <w:ilvl w:val="0"/>
          <w:numId w:val="8"/>
        </w:numPr>
      </w:pPr>
      <w:r>
        <w:t>供应商须为在中华人民共和国境内注册的独立法人，具有有效的营业执照，且经营范围包含网络安全等级保护测评相关服务。</w:t>
      </w:r>
    </w:p>
    <w:p w:rsidR="00EF1283" w:rsidRDefault="00600F69">
      <w:pPr>
        <w:numPr>
          <w:ilvl w:val="0"/>
          <w:numId w:val="8"/>
        </w:numPr>
      </w:pPr>
      <w:r>
        <w:t>供应商须具备公安部颁发的《网络安全等级测评与检测评估机构推荐证书》，并在《全国网络安全等级保护测评机构推荐目录》中备案。</w:t>
      </w:r>
    </w:p>
    <w:p w:rsidR="00EF1283" w:rsidRDefault="00600F69">
      <w:pPr>
        <w:numPr>
          <w:ilvl w:val="0"/>
          <w:numId w:val="8"/>
        </w:numPr>
      </w:pPr>
      <w:r>
        <w:t>供应商须具有良好的商业信誉和健全的财务会计制度，提供近三年（</w:t>
      </w:r>
      <w:r>
        <w:t>2022-2024</w:t>
      </w:r>
      <w:r>
        <w:t>年）的财务审计报告或财务报表。</w:t>
      </w:r>
    </w:p>
    <w:p w:rsidR="00EF1283" w:rsidRDefault="00600F69">
      <w:pPr>
        <w:numPr>
          <w:ilvl w:val="0"/>
          <w:numId w:val="8"/>
        </w:numPr>
      </w:pPr>
      <w:r>
        <w:t>供应商须具有依法缴纳税收和社会保障资金的良好记录，提供近三个月（</w:t>
      </w:r>
      <w:r>
        <w:t>2025</w:t>
      </w:r>
      <w:r>
        <w:t>年</w:t>
      </w:r>
      <w:r>
        <w:t>2-4</w:t>
      </w:r>
      <w:r>
        <w:t>月）的纳税证明和社保缴纳证明。</w:t>
      </w:r>
    </w:p>
    <w:p w:rsidR="00EF1283" w:rsidRDefault="00600F69">
      <w:pPr>
        <w:numPr>
          <w:ilvl w:val="0"/>
          <w:numId w:val="8"/>
        </w:numPr>
      </w:pPr>
      <w:r>
        <w:t>供应商须具备至</w:t>
      </w:r>
      <w:r>
        <w:t>少</w:t>
      </w:r>
      <w:r>
        <w:t>3</w:t>
      </w:r>
      <w:r>
        <w:t>个类似项目经验（提供合同复印件或中标通知书），且在医疗行业有成功案例者优先。</w:t>
      </w:r>
    </w:p>
    <w:p w:rsidR="00EF1283" w:rsidRDefault="00600F69">
      <w:pPr>
        <w:numPr>
          <w:ilvl w:val="0"/>
          <w:numId w:val="8"/>
        </w:numPr>
      </w:pPr>
      <w:r>
        <w:t>供应商拟派项目团队成员须具备网络安全等级测评师资质，其中项目负责人须具有高级测评师证书。</w:t>
      </w:r>
    </w:p>
    <w:p w:rsidR="00EF1283" w:rsidRDefault="00600F69">
      <w:pPr>
        <w:numPr>
          <w:ilvl w:val="0"/>
          <w:numId w:val="8"/>
        </w:numPr>
      </w:pPr>
      <w:r>
        <w:t>供应商须承诺在本地设有固定的服务机构或能够提供本地化服务支持，确保在接到医院通知后</w:t>
      </w:r>
      <w:r>
        <w:t>2</w:t>
      </w:r>
      <w:r>
        <w:t>小时内到达现场。</w:t>
      </w:r>
    </w:p>
    <w:p w:rsidR="00EF1283" w:rsidRDefault="00600F69">
      <w:pPr>
        <w:pStyle w:val="2"/>
        <w:numPr>
          <w:ilvl w:val="0"/>
          <w:numId w:val="9"/>
        </w:numPr>
      </w:pPr>
      <w:r>
        <w:rPr>
          <w:rFonts w:hint="eastAsia"/>
        </w:rPr>
        <w:t>评标办法</w:t>
      </w:r>
    </w:p>
    <w:p w:rsidR="00EF1283" w:rsidRDefault="00600F69">
      <w:pPr>
        <w:pStyle w:val="2"/>
        <w:rPr>
          <w:b w:val="0"/>
          <w:sz w:val="22"/>
        </w:rPr>
      </w:pPr>
      <w:r>
        <w:rPr>
          <w:rFonts w:hint="eastAsia"/>
          <w:b w:val="0"/>
          <w:sz w:val="22"/>
        </w:rPr>
        <w:t>最低投标价法</w:t>
      </w:r>
    </w:p>
    <w:p w:rsidR="00EF1283" w:rsidRDefault="00EF1283">
      <w:pPr>
        <w:pStyle w:val="2"/>
      </w:pPr>
    </w:p>
    <w:p w:rsidR="00EF1283" w:rsidRDefault="00600F69">
      <w:pPr>
        <w:pStyle w:val="2"/>
      </w:pPr>
      <w:r>
        <w:rPr>
          <w:rFonts w:hint="eastAsia"/>
        </w:rPr>
        <w:t>八、报价表（报价需包含完成本项目的所有费用）</w:t>
      </w:r>
    </w:p>
    <w:tbl>
      <w:tblPr>
        <w:tblStyle w:val="a4"/>
        <w:tblW w:w="4755" w:type="pct"/>
        <w:tblInd w:w="0" w:type="dxa"/>
        <w:tblCellMar>
          <w:top w:w="0" w:type="dxa"/>
          <w:bottom w:w="0" w:type="dxa"/>
        </w:tblCellMar>
        <w:tblLook w:val="04A0"/>
      </w:tblPr>
      <w:tblGrid>
        <w:gridCol w:w="3900"/>
        <w:gridCol w:w="1665"/>
        <w:gridCol w:w="1267"/>
        <w:gridCol w:w="1267"/>
      </w:tblGrid>
      <w:tr w:rsidR="00EF1283">
        <w:trPr>
          <w:trHeight w:val="756"/>
        </w:trPr>
        <w:tc>
          <w:tcPr>
            <w:tcW w:w="2407" w:type="pct"/>
          </w:tcPr>
          <w:p w:rsidR="00EF1283" w:rsidRDefault="00600F69">
            <w:r>
              <w:rPr>
                <w:b/>
                <w:bCs/>
              </w:rPr>
              <w:t>系统名称</w:t>
            </w:r>
          </w:p>
        </w:tc>
        <w:tc>
          <w:tcPr>
            <w:tcW w:w="1028" w:type="pct"/>
          </w:tcPr>
          <w:p w:rsidR="00EF1283" w:rsidRDefault="00600F69">
            <w:r>
              <w:rPr>
                <w:b/>
                <w:bCs/>
              </w:rPr>
              <w:t>安全保护等级</w:t>
            </w:r>
          </w:p>
        </w:tc>
        <w:tc>
          <w:tcPr>
            <w:tcW w:w="782" w:type="pct"/>
          </w:tcPr>
          <w:p w:rsidR="00EF1283" w:rsidRDefault="00600F69">
            <w:r>
              <w:rPr>
                <w:b/>
                <w:bCs/>
              </w:rPr>
              <w:t>测评次数</w:t>
            </w:r>
          </w:p>
        </w:tc>
        <w:tc>
          <w:tcPr>
            <w:tcW w:w="782" w:type="pct"/>
          </w:tcPr>
          <w:p w:rsidR="00EF1283" w:rsidRDefault="00600F69">
            <w:pPr>
              <w:rPr>
                <w:b/>
                <w:bCs/>
              </w:rPr>
            </w:pPr>
            <w:r>
              <w:rPr>
                <w:rFonts w:hint="eastAsia"/>
                <w:b/>
                <w:bCs/>
              </w:rPr>
              <w:t>报价（元）</w:t>
            </w:r>
          </w:p>
        </w:tc>
      </w:tr>
      <w:tr w:rsidR="00EF1283">
        <w:trPr>
          <w:trHeight w:val="756"/>
        </w:trPr>
        <w:tc>
          <w:tcPr>
            <w:tcW w:w="2407" w:type="pct"/>
          </w:tcPr>
          <w:p w:rsidR="00EF1283" w:rsidRDefault="00600F69">
            <w:r>
              <w:t>面向公众服务的信息系统（含医院信息集成平台、</w:t>
            </w:r>
            <w:r>
              <w:t>HIS</w:t>
            </w:r>
            <w:r>
              <w:t>）</w:t>
            </w:r>
          </w:p>
        </w:tc>
        <w:tc>
          <w:tcPr>
            <w:tcW w:w="1028" w:type="pct"/>
          </w:tcPr>
          <w:p w:rsidR="00EF1283" w:rsidRDefault="00600F69">
            <w:r>
              <w:t>三级</w:t>
            </w:r>
          </w:p>
        </w:tc>
        <w:tc>
          <w:tcPr>
            <w:tcW w:w="782" w:type="pct"/>
          </w:tcPr>
          <w:p w:rsidR="00EF1283" w:rsidRDefault="00600F69">
            <w:r>
              <w:t>1</w:t>
            </w:r>
            <w:r>
              <w:t>次</w:t>
            </w:r>
          </w:p>
        </w:tc>
        <w:tc>
          <w:tcPr>
            <w:tcW w:w="782" w:type="pct"/>
          </w:tcPr>
          <w:p w:rsidR="00EF1283" w:rsidRDefault="00EF1283"/>
        </w:tc>
      </w:tr>
      <w:tr w:rsidR="00EF1283">
        <w:trPr>
          <w:trHeight w:val="756"/>
        </w:trPr>
        <w:tc>
          <w:tcPr>
            <w:tcW w:w="2407" w:type="pct"/>
          </w:tcPr>
          <w:p w:rsidR="00EF1283" w:rsidRDefault="00600F69">
            <w:r>
              <w:t>互联网医院</w:t>
            </w:r>
            <w:r>
              <w:rPr>
                <w:rFonts w:hint="eastAsia"/>
              </w:rPr>
              <w:t>系统</w:t>
            </w:r>
          </w:p>
        </w:tc>
        <w:tc>
          <w:tcPr>
            <w:tcW w:w="1028" w:type="pct"/>
          </w:tcPr>
          <w:p w:rsidR="00EF1283" w:rsidRDefault="00600F69">
            <w:r>
              <w:t>三级</w:t>
            </w:r>
          </w:p>
        </w:tc>
        <w:tc>
          <w:tcPr>
            <w:tcW w:w="782" w:type="pct"/>
          </w:tcPr>
          <w:p w:rsidR="00EF1283" w:rsidRDefault="00600F69">
            <w:r>
              <w:t>1</w:t>
            </w:r>
            <w:r>
              <w:t>次</w:t>
            </w:r>
          </w:p>
        </w:tc>
        <w:tc>
          <w:tcPr>
            <w:tcW w:w="782" w:type="pct"/>
          </w:tcPr>
          <w:p w:rsidR="00EF1283" w:rsidRDefault="00EF1283"/>
        </w:tc>
      </w:tr>
      <w:tr w:rsidR="00EF1283">
        <w:trPr>
          <w:trHeight w:val="756"/>
        </w:trPr>
        <w:tc>
          <w:tcPr>
            <w:tcW w:w="4217" w:type="pct"/>
            <w:gridSpan w:val="3"/>
          </w:tcPr>
          <w:p w:rsidR="00EF1283" w:rsidRDefault="00600F69">
            <w:pPr>
              <w:jc w:val="center"/>
            </w:pPr>
            <w:r>
              <w:rPr>
                <w:rFonts w:hint="eastAsia"/>
              </w:rPr>
              <w:t>合计</w:t>
            </w:r>
          </w:p>
        </w:tc>
        <w:tc>
          <w:tcPr>
            <w:tcW w:w="782" w:type="pct"/>
          </w:tcPr>
          <w:p w:rsidR="00EF1283" w:rsidRDefault="00EF1283"/>
        </w:tc>
      </w:tr>
    </w:tbl>
    <w:p w:rsidR="00EF1283" w:rsidRDefault="00EF1283">
      <w:pPr>
        <w:pStyle w:val="2"/>
      </w:pPr>
    </w:p>
    <w:p w:rsidR="00EF1283" w:rsidRDefault="00600F69">
      <w:pPr>
        <w:pStyle w:val="2"/>
      </w:pPr>
      <w:r>
        <w:rPr>
          <w:rFonts w:hint="eastAsia"/>
        </w:rPr>
        <w:t>九</w:t>
      </w:r>
      <w:r>
        <w:t>、其他事项</w:t>
      </w:r>
    </w:p>
    <w:p w:rsidR="00EF1283" w:rsidRDefault="00600F69">
      <w:pPr>
        <w:numPr>
          <w:ilvl w:val="0"/>
          <w:numId w:val="10"/>
        </w:numPr>
      </w:pPr>
      <w:r>
        <w:t>本采购需求书未尽事宜，双方可在合同签订时另行协商补充。</w:t>
      </w:r>
    </w:p>
    <w:p w:rsidR="00EF1283" w:rsidRDefault="00600F69">
      <w:pPr>
        <w:numPr>
          <w:ilvl w:val="0"/>
          <w:numId w:val="10"/>
        </w:numPr>
      </w:pPr>
      <w:r>
        <w:t>供应商应仔细阅读本需求书的所有条款，如对本需求书有任何疑问或建议，应在投标截止时间前以书面形式向医院提出，医院将视情况进行澄清或修改。</w:t>
      </w:r>
    </w:p>
    <w:p w:rsidR="00EF1283" w:rsidRDefault="00600F69">
      <w:pPr>
        <w:numPr>
          <w:ilvl w:val="0"/>
          <w:numId w:val="10"/>
        </w:numPr>
      </w:pPr>
      <w:r>
        <w:t>本采购需求书自发布之日起生效，有效期至项目验收完成。</w:t>
      </w:r>
    </w:p>
    <w:p w:rsidR="00EF1283" w:rsidRDefault="00002D1F" w:rsidP="00002D1F">
      <w:pPr>
        <w:pStyle w:val="2"/>
        <w:rPr>
          <w:rFonts w:hint="eastAsia"/>
          <w:b w:val="0"/>
          <w:sz w:val="22"/>
          <w:szCs w:val="22"/>
        </w:rPr>
      </w:pPr>
      <w:r>
        <w:rPr>
          <w:rFonts w:hint="eastAsia"/>
        </w:rPr>
        <w:t>十</w:t>
      </w:r>
      <w:r>
        <w:t>、</w:t>
      </w:r>
      <w:r w:rsidRPr="00002D1F">
        <w:rPr>
          <w:rFonts w:hint="eastAsia"/>
          <w:b w:val="0"/>
          <w:sz w:val="22"/>
          <w:szCs w:val="22"/>
        </w:rPr>
        <w:t>报价表加盖公章密封，于</w:t>
      </w:r>
      <w:r w:rsidRPr="00600F69">
        <w:rPr>
          <w:sz w:val="22"/>
          <w:szCs w:val="22"/>
          <w:u w:val="single"/>
        </w:rPr>
        <w:t>7月2</w:t>
      </w:r>
      <w:r w:rsidR="00600F69" w:rsidRPr="00600F69">
        <w:rPr>
          <w:rFonts w:hint="eastAsia"/>
          <w:sz w:val="22"/>
          <w:szCs w:val="22"/>
          <w:u w:val="single"/>
        </w:rPr>
        <w:t>4</w:t>
      </w:r>
      <w:r w:rsidRPr="00600F69">
        <w:rPr>
          <w:sz w:val="22"/>
          <w:szCs w:val="22"/>
          <w:u w:val="single"/>
        </w:rPr>
        <w:t>日16：00时前</w:t>
      </w:r>
      <w:r w:rsidRPr="00002D1F">
        <w:rPr>
          <w:b w:val="0"/>
          <w:sz w:val="22"/>
          <w:szCs w:val="22"/>
        </w:rPr>
        <w:t>送至</w:t>
      </w:r>
      <w:r w:rsidRPr="00002D1F">
        <w:rPr>
          <w:sz w:val="22"/>
          <w:szCs w:val="22"/>
          <w:u w:val="single"/>
        </w:rPr>
        <w:t>桐城市人民医院(新院区)</w:t>
      </w:r>
      <w:r>
        <w:rPr>
          <w:rFonts w:hint="eastAsia"/>
          <w:sz w:val="22"/>
          <w:szCs w:val="22"/>
          <w:u w:val="single"/>
        </w:rPr>
        <w:t>，</w:t>
      </w:r>
      <w:r w:rsidRPr="00002D1F">
        <w:rPr>
          <w:sz w:val="22"/>
          <w:szCs w:val="22"/>
          <w:u w:val="single"/>
        </w:rPr>
        <w:t>门诊</w:t>
      </w:r>
      <w:r>
        <w:rPr>
          <w:rFonts w:hint="eastAsia"/>
          <w:sz w:val="22"/>
          <w:szCs w:val="22"/>
          <w:u w:val="single"/>
        </w:rPr>
        <w:t>2</w:t>
      </w:r>
      <w:r w:rsidRPr="00002D1F">
        <w:rPr>
          <w:sz w:val="22"/>
          <w:szCs w:val="22"/>
          <w:u w:val="single"/>
        </w:rPr>
        <w:t>楼</w:t>
      </w:r>
      <w:r w:rsidRPr="00002D1F">
        <w:rPr>
          <w:rFonts w:hint="eastAsia"/>
          <w:sz w:val="22"/>
          <w:szCs w:val="22"/>
          <w:u w:val="single"/>
        </w:rPr>
        <w:t>，</w:t>
      </w:r>
      <w:r w:rsidRPr="00002D1F">
        <w:rPr>
          <w:sz w:val="22"/>
          <w:szCs w:val="22"/>
          <w:u w:val="single"/>
        </w:rPr>
        <w:t>行政办公区综合采购办公室</w:t>
      </w:r>
      <w:r w:rsidRPr="00002D1F">
        <w:rPr>
          <w:b w:val="0"/>
          <w:sz w:val="22"/>
          <w:szCs w:val="22"/>
        </w:rPr>
        <w:t>，本着自愿原则，逾期视为放弃！不接收快递报价文件。</w:t>
      </w:r>
    </w:p>
    <w:p w:rsidR="00600F69" w:rsidRPr="00600F69" w:rsidRDefault="00600F69" w:rsidP="00600F69">
      <w:pPr>
        <w:pStyle w:val="2"/>
        <w:rPr>
          <w:b w:val="0"/>
          <w:sz w:val="22"/>
          <w:szCs w:val="22"/>
        </w:rPr>
      </w:pPr>
      <w:r w:rsidRPr="00600F69">
        <w:rPr>
          <w:rFonts w:hint="eastAsia"/>
          <w:sz w:val="22"/>
          <w:szCs w:val="22"/>
        </w:rPr>
        <w:t>联系方式：</w:t>
      </w:r>
      <w:r w:rsidRPr="00600F69">
        <w:rPr>
          <w:rFonts w:hint="eastAsia"/>
          <w:b w:val="0"/>
          <w:sz w:val="22"/>
          <w:szCs w:val="22"/>
        </w:rPr>
        <w:t>综合采购办：</w:t>
      </w:r>
      <w:r>
        <w:rPr>
          <w:b w:val="0"/>
          <w:sz w:val="22"/>
          <w:szCs w:val="22"/>
        </w:rPr>
        <w:t xml:space="preserve">0556-6197331 </w:t>
      </w:r>
      <w:r>
        <w:rPr>
          <w:rFonts w:hint="eastAsia"/>
          <w:b w:val="0"/>
          <w:sz w:val="22"/>
          <w:szCs w:val="22"/>
        </w:rPr>
        <w:t>信息工程科</w:t>
      </w:r>
      <w:r w:rsidRPr="00600F69">
        <w:rPr>
          <w:rFonts w:hint="eastAsia"/>
          <w:b w:val="0"/>
          <w:sz w:val="22"/>
          <w:szCs w:val="22"/>
        </w:rPr>
        <w:t>：</w:t>
      </w:r>
      <w:r w:rsidRPr="00600F69">
        <w:rPr>
          <w:b w:val="0"/>
          <w:sz w:val="22"/>
          <w:szCs w:val="22"/>
        </w:rPr>
        <w:t>0556-6197</w:t>
      </w:r>
      <w:r>
        <w:rPr>
          <w:rFonts w:hint="eastAsia"/>
          <w:b w:val="0"/>
          <w:sz w:val="22"/>
          <w:szCs w:val="22"/>
        </w:rPr>
        <w:t>366</w:t>
      </w:r>
    </w:p>
    <w:p w:rsidR="00600F69" w:rsidRDefault="00600F69">
      <w:pPr>
        <w:jc w:val="right"/>
        <w:rPr>
          <w:rFonts w:hint="eastAsia"/>
        </w:rPr>
      </w:pPr>
    </w:p>
    <w:p w:rsidR="00600F69" w:rsidRDefault="00600F69">
      <w:pPr>
        <w:jc w:val="right"/>
        <w:rPr>
          <w:rFonts w:hint="eastAsia"/>
        </w:rPr>
      </w:pPr>
    </w:p>
    <w:p w:rsidR="00EF1283" w:rsidRPr="00600F69" w:rsidRDefault="00600F69">
      <w:pPr>
        <w:jc w:val="right"/>
        <w:rPr>
          <w:b/>
          <w:sz w:val="28"/>
          <w:szCs w:val="28"/>
        </w:rPr>
      </w:pPr>
      <w:r w:rsidRPr="00600F69">
        <w:rPr>
          <w:rFonts w:hint="eastAsia"/>
          <w:b/>
          <w:sz w:val="28"/>
          <w:szCs w:val="28"/>
        </w:rPr>
        <w:t>桐城市</w:t>
      </w:r>
      <w:r w:rsidRPr="00600F69">
        <w:rPr>
          <w:b/>
          <w:sz w:val="28"/>
          <w:szCs w:val="28"/>
        </w:rPr>
        <w:t>人民医院</w:t>
      </w:r>
    </w:p>
    <w:p w:rsidR="00EF1283" w:rsidRPr="00600F69" w:rsidRDefault="00600F69" w:rsidP="00600F69">
      <w:pPr>
        <w:jc w:val="right"/>
        <w:rPr>
          <w:b/>
          <w:sz w:val="28"/>
          <w:szCs w:val="28"/>
        </w:rPr>
      </w:pPr>
      <w:r w:rsidRPr="00600F69">
        <w:rPr>
          <w:b/>
          <w:sz w:val="28"/>
          <w:szCs w:val="28"/>
        </w:rPr>
        <w:t>2025</w:t>
      </w:r>
      <w:r w:rsidRPr="00600F69">
        <w:rPr>
          <w:b/>
          <w:sz w:val="28"/>
          <w:szCs w:val="28"/>
        </w:rPr>
        <w:t>年</w:t>
      </w:r>
      <w:r w:rsidRPr="00600F69">
        <w:rPr>
          <w:rFonts w:hint="eastAsia"/>
          <w:b/>
          <w:sz w:val="28"/>
          <w:szCs w:val="28"/>
        </w:rPr>
        <w:t>07</w:t>
      </w:r>
      <w:r w:rsidRPr="00600F69">
        <w:rPr>
          <w:b/>
          <w:sz w:val="28"/>
          <w:szCs w:val="28"/>
        </w:rPr>
        <w:t>月</w:t>
      </w:r>
      <w:r w:rsidRPr="00600F69">
        <w:rPr>
          <w:rFonts w:hint="eastAsia"/>
          <w:b/>
          <w:sz w:val="28"/>
          <w:szCs w:val="28"/>
        </w:rPr>
        <w:t>1</w:t>
      </w:r>
      <w:bookmarkStart w:id="0" w:name="_GoBack"/>
      <w:bookmarkEnd w:id="0"/>
      <w:r w:rsidRPr="00600F69">
        <w:rPr>
          <w:rFonts w:hint="eastAsia"/>
          <w:b/>
          <w:sz w:val="28"/>
          <w:szCs w:val="28"/>
        </w:rPr>
        <w:t>7</w:t>
      </w:r>
      <w:r w:rsidRPr="00600F69">
        <w:rPr>
          <w:b/>
          <w:sz w:val="28"/>
          <w:szCs w:val="28"/>
        </w:rPr>
        <w:t>日</w:t>
      </w:r>
    </w:p>
    <w:sectPr w:rsidR="00EF1283" w:rsidRPr="00600F69" w:rsidSect="00EF1283">
      <w:pgSz w:w="11906" w:h="16838"/>
      <w:pgMar w:top="1440" w:right="1803" w:bottom="1440" w:left="1803" w:header="13" w:footer="13" w:gutter="0"/>
      <w:cols w:space="0"/>
      <w:docGrid w:type="lines" w:linePitch="2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4D7CD"/>
    <w:multiLevelType w:val="singleLevel"/>
    <w:tmpl w:val="0C94D7CD"/>
    <w:lvl w:ilvl="0">
      <w:start w:val="7"/>
      <w:numFmt w:val="chineseCounting"/>
      <w:suff w:val="nothing"/>
      <w:lvlText w:val="%1、"/>
      <w:lvlJc w:val="left"/>
      <w:rPr>
        <w:rFonts w:hint="eastAsia"/>
      </w:rPr>
    </w:lvl>
  </w:abstractNum>
  <w:abstractNum w:abstractNumId="1">
    <w:nsid w:val="20000002"/>
    <w:multiLevelType w:val="multilevel"/>
    <w:tmpl w:val="20000002"/>
    <w:lvl w:ilvl="0">
      <w:start w:val="1"/>
      <w:numFmt w:val="bullet"/>
      <w:lvlText w:val=""/>
      <w:lvlJc w:val="left"/>
      <w:pPr>
        <w:ind w:left="420" w:hanging="420"/>
      </w:pPr>
      <w:rPr>
        <w:rFonts w:ascii="Wingdings" w:eastAsia="Wingdings" w:hAnsi="Wingdings" w:cs="Wingdings"/>
      </w:rPr>
    </w:lvl>
    <w:lvl w:ilvl="1">
      <w:start w:val="1"/>
      <w:numFmt w:val="bullet"/>
      <w:lvlText w:val="¢"/>
      <w:lvlJc w:val="left"/>
      <w:pPr>
        <w:ind w:left="840" w:hanging="420"/>
      </w:pPr>
      <w:rPr>
        <w:rFonts w:ascii="Wingdings" w:eastAsia="Wingdings" w:hAnsi="Wingdings" w:cs="Wingdings"/>
      </w:rPr>
    </w:lvl>
    <w:lvl w:ilvl="2">
      <w:start w:val="1"/>
      <w:numFmt w:val="bullet"/>
      <w:lvlText w:val=""/>
      <w:lvlJc w:val="left"/>
      <w:pPr>
        <w:ind w:left="1260" w:hanging="420"/>
      </w:pPr>
      <w:rPr>
        <w:rFonts w:ascii="Wingdings" w:eastAsia="Wingdings" w:hAnsi="Wingdings" w:cs="Wingdings"/>
      </w:rPr>
    </w:lvl>
    <w:lvl w:ilvl="3">
      <w:start w:val="1"/>
      <w:numFmt w:val="bullet"/>
      <w:lvlText w:val=""/>
      <w:lvlJc w:val="left"/>
      <w:pPr>
        <w:ind w:left="1680" w:hanging="420"/>
      </w:pPr>
      <w:rPr>
        <w:rFonts w:ascii="Wingdings" w:eastAsia="Wingdings" w:hAnsi="Wingdings" w:cs="Wingdings"/>
      </w:rPr>
    </w:lvl>
    <w:lvl w:ilvl="4">
      <w:start w:val="1"/>
      <w:numFmt w:val="bullet"/>
      <w:lvlText w:val="¢"/>
      <w:lvlJc w:val="left"/>
      <w:pPr>
        <w:ind w:left="2100" w:hanging="420"/>
      </w:pPr>
      <w:rPr>
        <w:rFonts w:ascii="Wingdings" w:eastAsia="Wingdings" w:hAnsi="Wingdings" w:cs="Wingdings"/>
      </w:rPr>
    </w:lvl>
    <w:lvl w:ilvl="5">
      <w:start w:val="1"/>
      <w:numFmt w:val="bullet"/>
      <w:lvlText w:val=""/>
      <w:lvlJc w:val="left"/>
      <w:pPr>
        <w:ind w:left="2520" w:hanging="420"/>
      </w:pPr>
      <w:rPr>
        <w:rFonts w:ascii="Wingdings" w:eastAsia="Wingdings" w:hAnsi="Wingdings" w:cs="Wingdings"/>
      </w:rPr>
    </w:lvl>
    <w:lvl w:ilvl="6">
      <w:start w:val="1"/>
      <w:numFmt w:val="bullet"/>
      <w:lvlText w:val=""/>
      <w:lvlJc w:val="left"/>
      <w:pPr>
        <w:ind w:left="2940" w:hanging="420"/>
      </w:pPr>
      <w:rPr>
        <w:rFonts w:ascii="Wingdings" w:eastAsia="Wingdings" w:hAnsi="Wingdings" w:cs="Wingdings"/>
      </w:rPr>
    </w:lvl>
    <w:lvl w:ilvl="7">
      <w:start w:val="1"/>
      <w:numFmt w:val="bullet"/>
      <w:lvlText w:val="¢"/>
      <w:lvlJc w:val="left"/>
      <w:pPr>
        <w:ind w:left="3360" w:hanging="420"/>
      </w:pPr>
      <w:rPr>
        <w:rFonts w:ascii="Wingdings" w:eastAsia="Wingdings" w:hAnsi="Wingdings" w:cs="Wingdings"/>
      </w:rPr>
    </w:lvl>
    <w:lvl w:ilvl="8">
      <w:numFmt w:val="decimal"/>
      <w:lvlText w:val=""/>
      <w:lvlJc w:val="left"/>
    </w:lvl>
  </w:abstractNum>
  <w:abstractNum w:abstractNumId="2">
    <w:nsid w:val="20000003"/>
    <w:multiLevelType w:val="multilevel"/>
    <w:tmpl w:val="200000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numFmt w:val="decimal"/>
      <w:lvlText w:val=""/>
      <w:lvlJc w:val="left"/>
    </w:lvl>
  </w:abstractNum>
  <w:abstractNum w:abstractNumId="3">
    <w:nsid w:val="20000004"/>
    <w:multiLevelType w:val="multilevel"/>
    <w:tmpl w:val="2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numFmt w:val="decimal"/>
      <w:lvlText w:val=""/>
      <w:lvlJc w:val="left"/>
    </w:lvl>
  </w:abstractNum>
  <w:abstractNum w:abstractNumId="4">
    <w:nsid w:val="20000005"/>
    <w:multiLevelType w:val="multilevel"/>
    <w:tmpl w:val="200000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numFmt w:val="decimal"/>
      <w:lvlText w:val=""/>
      <w:lvlJc w:val="left"/>
    </w:lvl>
  </w:abstractNum>
  <w:abstractNum w:abstractNumId="5">
    <w:nsid w:val="20000006"/>
    <w:multiLevelType w:val="multilevel"/>
    <w:tmpl w:val="200000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numFmt w:val="decimal"/>
      <w:lvlText w:val=""/>
      <w:lvlJc w:val="left"/>
    </w:lvl>
  </w:abstractNum>
  <w:abstractNum w:abstractNumId="6">
    <w:nsid w:val="20000007"/>
    <w:multiLevelType w:val="multilevel"/>
    <w:tmpl w:val="200000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numFmt w:val="decimal"/>
      <w:lvlText w:val=""/>
      <w:lvlJc w:val="left"/>
    </w:lvl>
  </w:abstractNum>
  <w:abstractNum w:abstractNumId="7">
    <w:nsid w:val="20000008"/>
    <w:multiLevelType w:val="multilevel"/>
    <w:tmpl w:val="20000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numFmt w:val="decimal"/>
      <w:lvlText w:val=""/>
      <w:lvlJc w:val="left"/>
    </w:lvl>
  </w:abstractNum>
  <w:abstractNum w:abstractNumId="8">
    <w:nsid w:val="20000009"/>
    <w:multiLevelType w:val="multilevel"/>
    <w:tmpl w:val="200000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numFmt w:val="decimal"/>
      <w:lvlText w:val=""/>
      <w:lvlJc w:val="left"/>
    </w:lvl>
  </w:abstractNum>
  <w:abstractNum w:abstractNumId="9">
    <w:nsid w:val="2000000C"/>
    <w:multiLevelType w:val="multilevel"/>
    <w:tmpl w:val="200000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numFmt w:val="decimal"/>
      <w:lvlText w:val=""/>
      <w:lvlJc w:val="left"/>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
  <w:rsids>
    <w:rsidRoot w:val="00EF1283"/>
    <w:rsid w:val="00002D1F"/>
    <w:rsid w:val="00600F69"/>
    <w:rsid w:val="00EF1283"/>
    <w:rsid w:val="012A35E1"/>
    <w:rsid w:val="09151A31"/>
    <w:rsid w:val="0EDE427A"/>
    <w:rsid w:val="18B07A8C"/>
    <w:rsid w:val="1CFB1D1F"/>
    <w:rsid w:val="1DE47D7F"/>
    <w:rsid w:val="271E5887"/>
    <w:rsid w:val="28CB0D4D"/>
    <w:rsid w:val="39974106"/>
    <w:rsid w:val="46363F13"/>
    <w:rsid w:val="475114E6"/>
    <w:rsid w:val="59275414"/>
    <w:rsid w:val="5E16130B"/>
    <w:rsid w:val="5F9B09CF"/>
    <w:rsid w:val="616927E9"/>
    <w:rsid w:val="620E36AB"/>
    <w:rsid w:val="68183DB4"/>
    <w:rsid w:val="6AC40FAD"/>
    <w:rsid w:val="6AD04EBD"/>
    <w:rsid w:val="70A015FF"/>
    <w:rsid w:val="7B275992"/>
    <w:rsid w:val="7E831ECC"/>
    <w:rsid w:val="7F162A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1283"/>
    <w:pPr>
      <w:textAlignment w:val="baseline"/>
    </w:pPr>
    <w:rPr>
      <w:rFonts w:ascii="微软雅黑" w:eastAsia="微软雅黑" w:hAnsi="微软雅黑" w:cs="微软雅黑"/>
      <w:color w:val="080F17"/>
      <w:sz w:val="22"/>
    </w:rPr>
  </w:style>
  <w:style w:type="paragraph" w:styleId="1">
    <w:name w:val="heading 1"/>
    <w:basedOn w:val="a"/>
    <w:qFormat/>
    <w:rsid w:val="00EF1283"/>
    <w:pPr>
      <w:spacing w:before="390" w:after="120" w:line="634" w:lineRule="exact"/>
      <w:outlineLvl w:val="0"/>
    </w:pPr>
    <w:rPr>
      <w:b/>
      <w:sz w:val="38"/>
    </w:rPr>
  </w:style>
  <w:style w:type="paragraph" w:styleId="2">
    <w:name w:val="heading 2"/>
    <w:basedOn w:val="a"/>
    <w:qFormat/>
    <w:rsid w:val="00EF1283"/>
    <w:pPr>
      <w:spacing w:before="330" w:after="120" w:line="536" w:lineRule="exact"/>
      <w:outlineLvl w:val="1"/>
    </w:pPr>
    <w:rPr>
      <w:b/>
      <w:sz w:val="32"/>
    </w:rPr>
  </w:style>
  <w:style w:type="paragraph" w:styleId="3">
    <w:name w:val="heading 3"/>
    <w:basedOn w:val="a"/>
    <w:qFormat/>
    <w:rsid w:val="00EF1283"/>
    <w:pPr>
      <w:spacing w:before="300" w:after="120" w:line="488" w:lineRule="exact"/>
      <w:outlineLvl w:val="2"/>
    </w:pPr>
    <w:rPr>
      <w:b/>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F1283"/>
    <w:pPr>
      <w:spacing w:after="120"/>
    </w:pPr>
    <w:rPr>
      <w:szCs w:val="24"/>
    </w:rPr>
  </w:style>
  <w:style w:type="table" w:styleId="a4">
    <w:name w:val="Table Grid"/>
    <w:qFormat/>
    <w:rsid w:val="00EF1283"/>
    <w:tblPr>
      <w:tblBorders>
        <w:top w:val="single" w:sz="6" w:space="0" w:color="080F17"/>
        <w:left w:val="single" w:sz="6" w:space="0" w:color="080F17"/>
        <w:bottom w:val="single" w:sz="6" w:space="0" w:color="080F17"/>
        <w:right w:val="single" w:sz="6" w:space="0" w:color="080F17"/>
        <w:insideH w:val="single" w:sz="6" w:space="0" w:color="080F17"/>
        <w:insideV w:val="single" w:sz="6" w:space="0" w:color="080F17"/>
      </w:tblBorders>
      <w:tblCellMar>
        <w:top w:w="0" w:type="dxa"/>
        <w:left w:w="108" w:type="dxa"/>
        <w:bottom w:w="0" w:type="dxa"/>
        <w:right w:w="108" w:type="dxa"/>
      </w:tblCellMar>
    </w:tblPr>
  </w:style>
  <w:style w:type="paragraph" w:customStyle="1" w:styleId="MainTitle">
    <w:name w:val="MainTitle"/>
    <w:basedOn w:val="a"/>
    <w:qFormat/>
    <w:rsid w:val="00EF1283"/>
    <w:pPr>
      <w:pBdr>
        <w:bottom w:val="single" w:sz="6" w:space="5" w:color="E2E6ED"/>
      </w:pBdr>
      <w:spacing w:before="180" w:after="480" w:line="780" w:lineRule="exact"/>
    </w:pPr>
    <w:rPr>
      <w:b/>
      <w:sz w:val="44"/>
    </w:rPr>
  </w:style>
  <w:style w:type="paragraph" w:customStyle="1" w:styleId="TableParagraph">
    <w:name w:val="Table Paragraph"/>
    <w:basedOn w:val="a"/>
    <w:uiPriority w:val="1"/>
    <w:qFormat/>
    <w:rsid w:val="00EF1283"/>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6</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FXCP</dc:creator>
  <cp:lastModifiedBy>xtzj</cp:lastModifiedBy>
  <cp:revision>3</cp:revision>
  <cp:lastPrinted>2025-07-17T03:43:00Z</cp:lastPrinted>
  <dcterms:created xsi:type="dcterms:W3CDTF">2025-05-25T09:03:00Z</dcterms:created>
  <dcterms:modified xsi:type="dcterms:W3CDTF">2025-07-17T08:11:00Z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eyJoZGlkIjoiN2I0ZmFhMTYwYzRlMTllNGJkZDE3MjcwZDk1NTMxN2IiLCJ1c2VySWQiOiIxNDQ0Nzg4MjYzIn0=</vt:lpwstr>
  </property>
  <property fmtid="{D5CDD505-2E9C-101B-9397-08002B2CF9AE}" pid="4" name="ICV">
    <vt:lpwstr>989CDEDA72974F0BABB796FA882BFF73_13</vt:lpwstr>
  </property>
</Properties>
</file>