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28"/>
          <w:szCs w:val="28"/>
          <w:lang w:val="en-US" w:eastAsia="zh-CN"/>
        </w:rPr>
      </w:pPr>
      <w:r>
        <w:rPr>
          <w:rFonts w:hint="eastAsia" w:ascii="宋体" w:hAnsi="宋体" w:cs="宋体"/>
          <w:b/>
          <w:bCs/>
          <w:color w:val="000000"/>
          <w:sz w:val="28"/>
          <w:szCs w:val="28"/>
          <w:lang w:val="en-US" w:eastAsia="zh-CN"/>
        </w:rPr>
        <w:t>药品管理系统招标参数要求</w:t>
      </w:r>
    </w:p>
    <w:p>
      <w:pPr>
        <w:widowControl/>
        <w:shd w:val="clear" w:color="auto" w:fill="FFFFFF"/>
        <w:spacing w:line="400" w:lineRule="exact"/>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（一）总体要求</w:t>
      </w:r>
    </w:p>
    <w:tbl>
      <w:tblPr>
        <w:tblStyle w:val="7"/>
        <w:tblW w:w="8475"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2415"/>
        <w:gridCol w:w="2835"/>
        <w:gridCol w:w="1061"/>
        <w:gridCol w:w="1215"/>
        <w:gridCol w:w="94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415" w:type="dxa"/>
            <w:shd w:val="clear" w:color="auto" w:fill="FFFFFF"/>
            <w:vAlign w:val="center"/>
          </w:tcPr>
          <w:p>
            <w:pPr>
              <w:widowControl/>
              <w:shd w:val="clear" w:color="auto" w:fill="FFFFFF"/>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名称</w:t>
            </w:r>
          </w:p>
        </w:tc>
        <w:tc>
          <w:tcPr>
            <w:tcW w:w="283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规格型号</w:t>
            </w:r>
          </w:p>
        </w:tc>
        <w:tc>
          <w:tcPr>
            <w:tcW w:w="1061"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单位</w:t>
            </w:r>
          </w:p>
        </w:tc>
        <w:tc>
          <w:tcPr>
            <w:tcW w:w="121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数量</w:t>
            </w:r>
          </w:p>
        </w:tc>
        <w:tc>
          <w:tcPr>
            <w:tcW w:w="949"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trPr>
        <w:tc>
          <w:tcPr>
            <w:tcW w:w="241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冷链</w:t>
            </w:r>
            <w:r>
              <w:rPr>
                <w:rFonts w:hint="eastAsia" w:ascii="宋体" w:hAnsi="宋体" w:cs="宋体"/>
                <w:color w:val="000000"/>
                <w:sz w:val="21"/>
                <w:szCs w:val="21"/>
                <w:lang w:eastAsia="zh-CN"/>
              </w:rPr>
              <w:t>监测服务</w:t>
            </w:r>
            <w:r>
              <w:rPr>
                <w:rFonts w:hint="eastAsia" w:ascii="宋体" w:hAnsi="宋体" w:eastAsia="宋体" w:cs="宋体"/>
                <w:color w:val="000000"/>
                <w:sz w:val="21"/>
                <w:szCs w:val="21"/>
              </w:rPr>
              <w:t>系统</w:t>
            </w:r>
          </w:p>
        </w:tc>
        <w:tc>
          <w:tcPr>
            <w:tcW w:w="283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主控软件</w:t>
            </w:r>
          </w:p>
        </w:tc>
        <w:tc>
          <w:tcPr>
            <w:tcW w:w="1061"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w:t>
            </w:r>
          </w:p>
        </w:tc>
        <w:tc>
          <w:tcPr>
            <w:tcW w:w="1215" w:type="dxa"/>
            <w:shd w:val="clear" w:color="auto" w:fill="FFFFFF"/>
            <w:vAlign w:val="center"/>
          </w:tcPr>
          <w:p>
            <w:pPr>
              <w:widowControl/>
              <w:spacing w:line="40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949" w:type="dxa"/>
            <w:shd w:val="clear" w:color="auto" w:fill="FFFFFF"/>
            <w:vAlign w:val="center"/>
          </w:tcPr>
          <w:p>
            <w:pPr>
              <w:widowControl/>
              <w:spacing w:line="400" w:lineRule="exact"/>
              <w:jc w:val="center"/>
              <w:rPr>
                <w:rFonts w:hint="eastAsia" w:ascii="宋体" w:hAnsi="宋体" w:eastAsia="宋体" w:cs="宋体"/>
                <w:color w:val="000000"/>
                <w:sz w:val="21"/>
                <w:szCs w:val="21"/>
              </w:rPr>
            </w:pPr>
          </w:p>
        </w:tc>
      </w:tr>
    </w:tbl>
    <w:p>
      <w:pPr>
        <w:widowControl/>
        <w:shd w:val="clear" w:color="auto" w:fill="FFFFFF"/>
        <w:spacing w:line="400" w:lineRule="exact"/>
        <w:jc w:val="left"/>
        <w:rPr>
          <w:rFonts w:hint="eastAsia" w:ascii="宋体" w:hAnsi="宋体" w:cs="宋体"/>
          <w:color w:val="000000"/>
          <w:sz w:val="21"/>
          <w:szCs w:val="21"/>
          <w:lang w:val="en-US" w:eastAsia="zh-CN"/>
        </w:rPr>
      </w:pPr>
      <w:r>
        <w:rPr>
          <w:rFonts w:hint="eastAsia" w:ascii="宋体" w:hAnsi="宋体" w:eastAsia="宋体" w:cs="宋体"/>
          <w:color w:val="000000"/>
          <w:sz w:val="21"/>
          <w:szCs w:val="21"/>
        </w:rPr>
        <w:t>　</w:t>
      </w:r>
      <w:r>
        <w:rPr>
          <w:rFonts w:hint="eastAsia" w:ascii="宋体" w:hAnsi="宋体" w:cs="宋体"/>
          <w:color w:val="000000"/>
          <w:sz w:val="21"/>
          <w:szCs w:val="21"/>
          <w:lang w:val="en-US" w:eastAsia="zh-CN"/>
        </w:rPr>
        <w:t>备注：1.本项目涵盖</w:t>
      </w:r>
      <w:r>
        <w:rPr>
          <w:rFonts w:hint="eastAsia" w:ascii="宋体" w:hAnsi="宋体" w:cs="宋体"/>
          <w:color w:val="000000"/>
          <w:sz w:val="21"/>
          <w:szCs w:val="21"/>
          <w:lang w:val="en-US" w:eastAsia="zh-Hans"/>
        </w:rPr>
        <w:t>桐城市</w:t>
      </w:r>
      <w:r>
        <w:rPr>
          <w:rFonts w:hint="eastAsia" w:ascii="宋体" w:hAnsi="宋体" w:cs="宋体"/>
          <w:color w:val="000000"/>
          <w:sz w:val="21"/>
          <w:szCs w:val="21"/>
          <w:lang w:val="en-US" w:eastAsia="zh-CN"/>
        </w:rPr>
        <w:t>人民医院</w:t>
      </w:r>
      <w:r>
        <w:rPr>
          <w:rFonts w:hint="eastAsia" w:ascii="宋体" w:hAnsi="宋体" w:eastAsia="宋体" w:cs="宋体"/>
          <w:color w:val="000000"/>
          <w:sz w:val="21"/>
          <w:szCs w:val="21"/>
        </w:rPr>
        <w:t>与</w:t>
      </w:r>
      <w:r>
        <w:rPr>
          <w:rFonts w:hint="eastAsia" w:ascii="宋体" w:hAnsi="宋体" w:cs="宋体"/>
          <w:color w:val="000000"/>
          <w:sz w:val="21"/>
          <w:szCs w:val="21"/>
          <w:lang w:eastAsia="zh-CN"/>
        </w:rPr>
        <w:t>院</w:t>
      </w:r>
      <w:r>
        <w:rPr>
          <w:rFonts w:hint="eastAsia" w:ascii="宋体" w:hAnsi="宋体" w:eastAsia="宋体" w:cs="宋体"/>
          <w:color w:val="000000"/>
          <w:sz w:val="21"/>
          <w:szCs w:val="21"/>
        </w:rPr>
        <w:t>区内各</w:t>
      </w:r>
      <w:r>
        <w:rPr>
          <w:rFonts w:hint="eastAsia" w:ascii="宋体" w:hAnsi="宋体" w:cs="宋体"/>
          <w:color w:val="000000"/>
          <w:sz w:val="21"/>
          <w:szCs w:val="21"/>
          <w:lang w:eastAsia="zh-CN"/>
        </w:rPr>
        <w:t>科室</w:t>
      </w:r>
      <w:r>
        <w:rPr>
          <w:rFonts w:hint="eastAsia" w:ascii="宋体" w:hAnsi="宋体" w:cs="宋体"/>
          <w:color w:val="000000"/>
          <w:sz w:val="21"/>
          <w:szCs w:val="21"/>
          <w:lang w:val="en-US" w:eastAsia="zh-CN"/>
        </w:rPr>
        <w:t>冷链温湿度实时温度监测和预警系统，包括冷链监测所需的软件系统和硬件设备，投标单位根据其产品特点进行配置，但其产品需满足本项目产品的基本技术参数要求；</w:t>
      </w:r>
    </w:p>
    <w:p>
      <w:pPr>
        <w:widowControl/>
        <w:shd w:val="clear" w:color="auto" w:fill="FFFFFF"/>
        <w:spacing w:line="400" w:lineRule="exact"/>
        <w:ind w:firstLine="630" w:firstLineChars="300"/>
        <w:jc w:val="left"/>
        <w:rPr>
          <w:rFonts w:hint="eastAsia" w:ascii="宋体" w:hAnsi="宋体" w:cs="宋体"/>
          <w:color w:val="000000"/>
          <w:sz w:val="21"/>
          <w:szCs w:val="21"/>
          <w:lang w:val="en-US" w:eastAsia="zh-CN"/>
        </w:rPr>
      </w:pPr>
      <w:r>
        <w:rPr>
          <w:rFonts w:hint="eastAsia" w:ascii="宋体" w:hAnsi="宋体" w:cs="宋体"/>
          <w:color w:val="000000"/>
          <w:sz w:val="21"/>
          <w:szCs w:val="21"/>
          <w:lang w:val="en-US" w:eastAsia="zh-CN"/>
        </w:rPr>
        <w:t xml:space="preserve">2.参与本次项目投标的单位需实地勘察现场，并出具现场勘查表（详见附件1格式），勘察表需附在投标文件中，作为实质性条款的一项； </w:t>
      </w:r>
    </w:p>
    <w:p>
      <w:pPr>
        <w:pStyle w:val="2"/>
        <w:rPr>
          <w:rFonts w:hint="eastAsia"/>
          <w:lang w:val="en-US" w:eastAsia="zh-CN"/>
        </w:rPr>
      </w:pPr>
    </w:p>
    <w:p>
      <w:pPr>
        <w:pStyle w:val="10"/>
        <w:ind w:left="0" w:leftChars="0" w:firstLine="0" w:firstLineChars="0"/>
        <w:rPr>
          <w:rFonts w:hint="eastAsia"/>
        </w:rPr>
      </w:pPr>
    </w:p>
    <w:p>
      <w:pPr>
        <w:keepNext/>
        <w:keepLines/>
        <w:widowControl/>
        <w:numPr>
          <w:ilvl w:val="0"/>
          <w:numId w:val="0"/>
        </w:numPr>
        <w:spacing w:line="400" w:lineRule="exact"/>
        <w:ind w:leftChars="0" w:right="866" w:rightChars="0"/>
        <w:jc w:val="left"/>
        <w:outlineLvl w:val="1"/>
        <w:rPr>
          <w:rFonts w:hint="eastAsia" w:ascii="宋体" w:hAnsi="宋体" w:eastAsia="宋体" w:cs="宋体"/>
          <w:b/>
          <w:bCs/>
          <w:color w:val="000000"/>
          <w:sz w:val="24"/>
          <w:szCs w:val="24"/>
        </w:rPr>
      </w:pPr>
      <w:r>
        <w:rPr>
          <w:rFonts w:hint="eastAsia" w:ascii="宋体" w:hAnsi="宋体" w:cs="宋体"/>
          <w:b/>
          <w:bCs/>
          <w:color w:val="000000"/>
          <w:sz w:val="24"/>
          <w:szCs w:val="24"/>
          <w:lang w:eastAsia="zh-CN"/>
        </w:rPr>
        <w:t>（</w:t>
      </w:r>
      <w:r>
        <w:rPr>
          <w:rFonts w:hint="eastAsia" w:ascii="宋体" w:hAnsi="宋体" w:cs="宋体"/>
          <w:b/>
          <w:bCs/>
          <w:color w:val="000000"/>
          <w:sz w:val="24"/>
          <w:szCs w:val="24"/>
          <w:lang w:val="en-US" w:eastAsia="zh-CN"/>
        </w:rPr>
        <w:t>二</w:t>
      </w:r>
      <w:r>
        <w:rPr>
          <w:rFonts w:hint="eastAsia" w:ascii="宋体" w:hAnsi="宋体" w:cs="宋体"/>
          <w:b/>
          <w:bCs/>
          <w:color w:val="000000"/>
          <w:sz w:val="24"/>
          <w:szCs w:val="24"/>
          <w:lang w:eastAsia="zh-CN"/>
        </w:rPr>
        <w:t>）</w:t>
      </w:r>
      <w:r>
        <w:rPr>
          <w:rFonts w:hint="eastAsia" w:ascii="宋体" w:hAnsi="宋体" w:eastAsia="宋体" w:cs="宋体"/>
          <w:b/>
          <w:bCs/>
          <w:color w:val="000000"/>
          <w:sz w:val="24"/>
          <w:szCs w:val="24"/>
        </w:rPr>
        <w:t xml:space="preserve">技术要求 </w:t>
      </w:r>
    </w:p>
    <w:p>
      <w:pPr>
        <w:keepNext/>
        <w:keepLines/>
        <w:widowControl/>
        <w:spacing w:line="400" w:lineRule="exact"/>
        <w:ind w:right="866"/>
        <w:jc w:val="left"/>
        <w:outlineLvl w:val="1"/>
        <w:rPr>
          <w:rFonts w:hint="eastAsia" w:ascii="宋体" w:hAnsi="宋体" w:eastAsia="宋体" w:cs="宋体"/>
          <w:b/>
          <w:bCs/>
          <w:color w:val="auto"/>
          <w:sz w:val="21"/>
          <w:szCs w:val="21"/>
          <w:highlight w:val="none"/>
        </w:rPr>
      </w:pPr>
      <w:r>
        <w:rPr>
          <w:rFonts w:hint="eastAsia" w:ascii="宋体" w:hAnsi="宋体" w:eastAsia="宋体" w:cs="宋体"/>
          <w:b/>
          <w:bCs/>
          <w:color w:val="000000"/>
          <w:sz w:val="21"/>
          <w:szCs w:val="21"/>
        </w:rPr>
        <w:t>1、</w:t>
      </w:r>
      <w:r>
        <w:rPr>
          <w:rFonts w:hint="eastAsia" w:ascii="宋体" w:hAnsi="宋体" w:eastAsia="宋体" w:cs="宋体"/>
          <w:b/>
          <w:bCs/>
          <w:color w:val="auto"/>
          <w:sz w:val="21"/>
          <w:szCs w:val="21"/>
          <w:highlight w:val="none"/>
          <w:lang w:val="en-US" w:eastAsia="zh-CN"/>
        </w:rPr>
        <w:t>硬件参数的详细需求</w:t>
      </w:r>
    </w:p>
    <w:p>
      <w:pPr>
        <w:keepNext w:val="0"/>
        <w:keepLines w:val="0"/>
        <w:pageBreakBefore w:val="0"/>
        <w:widowControl/>
        <w:numPr>
          <w:ilvl w:val="0"/>
          <w:numId w:val="1"/>
        </w:numPr>
        <w:kinsoku/>
        <w:wordWrap/>
        <w:overflowPunct/>
        <w:topLinePunct w:val="0"/>
        <w:autoSpaceDE w:val="0"/>
        <w:autoSpaceDN w:val="0"/>
        <w:bidi w:val="0"/>
        <w:adjustRightInd/>
        <w:snapToGrid/>
        <w:spacing w:before="0" w:after="0" w:line="360" w:lineRule="auto"/>
        <w:ind w:left="425" w:leftChars="0" w:right="0" w:rightChars="0" w:hanging="425" w:firstLineChars="0"/>
        <w:jc w:val="both"/>
        <w:textAlignment w:val="bottom"/>
        <w:outlineLvl w:val="0"/>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无线</w:t>
      </w:r>
      <w:r>
        <w:rPr>
          <w:rFonts w:hint="eastAsia" w:ascii="宋体" w:hAnsi="宋体" w:eastAsia="宋体" w:cs="宋体"/>
          <w:b/>
          <w:bCs/>
          <w:color w:val="auto"/>
          <w:sz w:val="21"/>
          <w:szCs w:val="21"/>
          <w:highlight w:val="none"/>
          <w:lang w:val="en-US" w:eastAsia="zh-CN"/>
        </w:rPr>
        <w:t>温湿度</w:t>
      </w:r>
      <w:r>
        <w:rPr>
          <w:rFonts w:hint="eastAsia" w:ascii="宋体" w:hAnsi="宋体" w:cs="宋体"/>
          <w:b/>
          <w:bCs/>
          <w:color w:val="auto"/>
          <w:sz w:val="21"/>
          <w:szCs w:val="21"/>
          <w:highlight w:val="none"/>
          <w:lang w:val="en-US" w:eastAsia="zh-CN"/>
        </w:rPr>
        <w:t>采集模块</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highlight w:val="none"/>
        </w:rPr>
      </w:pPr>
      <w:r>
        <w:rPr>
          <w:rFonts w:hint="eastAsia" w:ascii="宋体" w:hAnsi="宋体" w:eastAsia="宋体" w:cs="宋体"/>
          <w:color w:val="000000"/>
          <w:highlight w:val="none"/>
        </w:rPr>
        <w:t>基于</w:t>
      </w:r>
      <w:r>
        <w:rPr>
          <w:rFonts w:hint="eastAsia" w:ascii="宋体" w:hAnsi="宋体" w:eastAsia="宋体" w:cs="宋体"/>
          <w:color w:val="000000"/>
          <w:highlight w:val="none"/>
          <w:lang w:val="en-US" w:eastAsia="zh-CN"/>
        </w:rPr>
        <w:t>2.4G的</w:t>
      </w:r>
      <w:r>
        <w:rPr>
          <w:rFonts w:hint="eastAsia" w:ascii="宋体" w:hAnsi="宋体" w:eastAsia="宋体" w:cs="宋体"/>
          <w:color w:val="000000"/>
          <w:highlight w:val="none"/>
        </w:rPr>
        <w:t>RFID技术，温度传感器与数据传输密封一体，可布署在不同区域；</w:t>
      </w:r>
      <w:r>
        <w:rPr>
          <w:rFonts w:hint="eastAsia" w:ascii="宋体" w:hAnsi="宋体" w:cs="宋体"/>
          <w:color w:val="000000"/>
          <w:highlight w:val="none"/>
          <w:lang w:eastAsia="zh-CN"/>
        </w:rPr>
        <w:t>（</w:t>
      </w:r>
      <w:r>
        <w:rPr>
          <w:rFonts w:hint="eastAsia" w:ascii="宋体" w:hAnsi="宋体" w:cs="宋体"/>
          <w:color w:val="000000"/>
          <w:highlight w:val="none"/>
          <w:lang w:val="en-US" w:eastAsia="zh-CN"/>
        </w:rPr>
        <w:t>提供投标方具有的</w:t>
      </w:r>
      <w:r>
        <w:rPr>
          <w:rFonts w:hint="eastAsia" w:ascii="宋体" w:hAnsi="宋体" w:eastAsia="宋体" w:cs="宋体"/>
          <w:bCs/>
          <w:sz w:val="21"/>
          <w:szCs w:val="21"/>
          <w:highlight w:val="none"/>
        </w:rPr>
        <w:t>第三方</w:t>
      </w:r>
      <w:r>
        <w:rPr>
          <w:rFonts w:hint="eastAsia" w:ascii="宋体" w:hAnsi="宋体" w:cs="宋体"/>
          <w:bCs/>
          <w:sz w:val="21"/>
          <w:szCs w:val="21"/>
          <w:highlight w:val="none"/>
          <w:lang w:val="en-US" w:eastAsia="zh-CN"/>
        </w:rPr>
        <w:t>具有</w:t>
      </w:r>
      <w:r>
        <w:rPr>
          <w:rFonts w:hint="eastAsia" w:ascii="宋体" w:hAnsi="宋体" w:eastAsia="宋体" w:cs="宋体"/>
          <w:bCs/>
          <w:sz w:val="21"/>
          <w:szCs w:val="21"/>
          <w:highlight w:val="none"/>
        </w:rPr>
        <w:t>CNAS认证的</w:t>
      </w:r>
      <w:r>
        <w:rPr>
          <w:rFonts w:hint="eastAsia" w:ascii="宋体" w:hAnsi="宋体" w:eastAsia="宋体" w:cs="宋体"/>
          <w:kern w:val="0"/>
          <w:sz w:val="21"/>
          <w:szCs w:val="21"/>
          <w:highlight w:val="none"/>
        </w:rPr>
        <w:t>法定计量单位</w:t>
      </w:r>
      <w:r>
        <w:rPr>
          <w:rFonts w:hint="eastAsia" w:ascii="宋体" w:hAnsi="宋体" w:eastAsia="宋体" w:cs="宋体"/>
          <w:sz w:val="21"/>
          <w:szCs w:val="21"/>
          <w:highlight w:val="none"/>
        </w:rPr>
        <w:t>出具的</w:t>
      </w:r>
      <w:r>
        <w:rPr>
          <w:rFonts w:hint="eastAsia" w:ascii="宋体" w:hAnsi="宋体" w:eastAsia="宋体" w:cs="宋体"/>
          <w:sz w:val="21"/>
          <w:szCs w:val="21"/>
          <w:highlight w:val="none"/>
          <w:lang w:val="en-US" w:eastAsia="zh-CN"/>
        </w:rPr>
        <w:t>温湿度传感器温度系数测试报告，</w:t>
      </w:r>
      <w:r>
        <w:rPr>
          <w:rFonts w:hint="eastAsia"/>
          <w:highlight w:val="none"/>
          <w:lang w:val="en-US" w:eastAsia="zh-CN"/>
        </w:rPr>
        <w:t>投标人需</w:t>
      </w:r>
      <w:r>
        <w:rPr>
          <w:rFonts w:hint="eastAsia"/>
          <w:highlight w:val="none"/>
          <w:lang w:eastAsia="zh-CN"/>
        </w:rPr>
        <w:t>承诺在中标后五个工作日内</w:t>
      </w:r>
      <w:r>
        <w:rPr>
          <w:rFonts w:hint="eastAsia"/>
          <w:highlight w:val="none"/>
          <w:lang w:val="en-US" w:eastAsia="zh-CN"/>
        </w:rPr>
        <w:t>提供原件核查</w:t>
      </w:r>
      <w:r>
        <w:rPr>
          <w:rFonts w:hint="eastAsia"/>
          <w:highlight w:val="none"/>
          <w:lang w:eastAsia="zh-CN"/>
        </w:rPr>
        <w:t>，如不能</w:t>
      </w:r>
      <w:r>
        <w:rPr>
          <w:rFonts w:hint="eastAsia"/>
          <w:highlight w:val="none"/>
          <w:lang w:val="en-US" w:eastAsia="zh-CN"/>
        </w:rPr>
        <w:t>提供</w:t>
      </w:r>
      <w:r>
        <w:rPr>
          <w:rFonts w:hint="eastAsia"/>
          <w:highlight w:val="none"/>
          <w:lang w:eastAsia="zh-CN"/>
        </w:rPr>
        <w:t>，采购人有权取消中标人的中标资格并追究其虚假应标责任</w:t>
      </w:r>
      <w:r>
        <w:rPr>
          <w:rFonts w:hint="eastAsia" w:ascii="宋体" w:hAnsi="宋体" w:cs="宋体"/>
          <w:color w:val="000000"/>
          <w:highlight w:val="none"/>
          <w:lang w:eastAsia="zh-CN"/>
        </w:rPr>
        <w:t>）</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highlight w:val="none"/>
        </w:rPr>
      </w:pPr>
      <w:r>
        <w:rPr>
          <w:rFonts w:hint="eastAsia" w:ascii="宋体" w:hAnsi="宋体" w:eastAsia="宋体" w:cs="宋体"/>
          <w:color w:val="000000"/>
          <w:highlight w:val="none"/>
        </w:rPr>
        <w:t>采用高容量电池，</w:t>
      </w:r>
      <w:r>
        <w:rPr>
          <w:rFonts w:hint="eastAsia" w:ascii="宋体" w:hAnsi="宋体" w:cs="宋体"/>
          <w:color w:val="000000"/>
          <w:highlight w:val="none"/>
          <w:lang w:val="en-US" w:eastAsia="zh-CN"/>
        </w:rPr>
        <w:t>无需外接电源供电，电池使用寿命达3年以上时间；</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highlight w:val="none"/>
        </w:rPr>
      </w:pPr>
      <w:r>
        <w:rPr>
          <w:rFonts w:hint="eastAsia" w:ascii="宋体" w:hAnsi="宋体" w:cs="宋体"/>
          <w:color w:val="000000"/>
          <w:highlight w:val="none"/>
          <w:lang w:val="en-US" w:eastAsia="zh-CN"/>
        </w:rPr>
        <w:t>设备表面无物理按键；（提供产品图片证明）</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highlight w:val="none"/>
        </w:rPr>
      </w:pPr>
      <w:r>
        <w:rPr>
          <w:rFonts w:hint="eastAsia" w:ascii="宋体" w:hAnsi="宋体" w:eastAsia="宋体" w:cs="宋体"/>
          <w:color w:val="000000"/>
          <w:highlight w:val="none"/>
        </w:rPr>
        <w:t>温度测量范围</w:t>
      </w:r>
      <w:r>
        <w:rPr>
          <w:rFonts w:hint="eastAsia" w:ascii="宋体" w:hAnsi="宋体" w:cs="宋体"/>
          <w:color w:val="000000"/>
          <w:highlight w:val="none"/>
          <w:lang w:val="en-US" w:eastAsia="zh-CN"/>
        </w:rPr>
        <w:t>满足</w:t>
      </w:r>
      <w:r>
        <w:rPr>
          <w:rFonts w:hint="eastAsia" w:ascii="宋体" w:hAnsi="宋体" w:eastAsia="宋体" w:cs="宋体"/>
          <w:color w:val="000000"/>
          <w:highlight w:val="none"/>
        </w:rPr>
        <w:t>：-</w:t>
      </w:r>
      <w:r>
        <w:rPr>
          <w:rFonts w:hint="eastAsia" w:ascii="宋体" w:hAnsi="宋体" w:cs="宋体"/>
          <w:color w:val="000000"/>
          <w:highlight w:val="none"/>
          <w:lang w:val="en-US" w:eastAsia="zh-CN"/>
        </w:rPr>
        <w:t>35</w:t>
      </w:r>
      <w:r>
        <w:rPr>
          <w:rFonts w:hint="eastAsia" w:ascii="宋体" w:hAnsi="宋体" w:eastAsia="宋体" w:cs="宋体"/>
          <w:color w:val="000000"/>
          <w:highlight w:val="none"/>
        </w:rPr>
        <w:t>～</w:t>
      </w:r>
      <w:r>
        <w:rPr>
          <w:rFonts w:hint="eastAsia" w:ascii="宋体" w:hAnsi="宋体" w:cs="宋体"/>
          <w:color w:val="000000"/>
          <w:highlight w:val="none"/>
          <w:lang w:val="en-US" w:eastAsia="zh-CN"/>
        </w:rPr>
        <w:t>7</w:t>
      </w:r>
      <w:r>
        <w:rPr>
          <w:rFonts w:hint="eastAsia" w:ascii="宋体" w:hAnsi="宋体" w:eastAsia="宋体" w:cs="宋体"/>
          <w:color w:val="000000"/>
          <w:highlight w:val="none"/>
        </w:rPr>
        <w:t>5℃；温度测量精度：±0.5℃；</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highlight w:val="none"/>
        </w:rPr>
      </w:pPr>
      <w:r>
        <w:rPr>
          <w:rFonts w:hint="eastAsia" w:ascii="宋体" w:hAnsi="宋体" w:cs="宋体"/>
          <w:color w:val="000000"/>
          <w:highlight w:val="none"/>
          <w:lang w:val="en-US" w:eastAsia="zh-CN"/>
        </w:rPr>
        <w:t>无线温湿度探头需做过第三方低温试验测试，低温测试的温度环境≤-40°C，且温度变化速率≥1°C/min,且持续时间大于等于15个小时以上；（提供投标方具有的第三方具有CMA和CNAS标识的证书，</w:t>
      </w:r>
      <w:r>
        <w:rPr>
          <w:rFonts w:hint="eastAsia"/>
          <w:highlight w:val="none"/>
          <w:lang w:val="en-US" w:eastAsia="zh-CN"/>
        </w:rPr>
        <w:t>投标人需</w:t>
      </w:r>
      <w:r>
        <w:rPr>
          <w:rFonts w:hint="eastAsia"/>
          <w:highlight w:val="none"/>
          <w:lang w:eastAsia="zh-CN"/>
        </w:rPr>
        <w:t>承诺在中标后五个工作日内</w:t>
      </w:r>
      <w:r>
        <w:rPr>
          <w:rFonts w:hint="eastAsia"/>
          <w:highlight w:val="none"/>
          <w:lang w:val="en-US" w:eastAsia="zh-CN"/>
        </w:rPr>
        <w:t>提供原件核查</w:t>
      </w:r>
      <w:r>
        <w:rPr>
          <w:rFonts w:hint="eastAsia"/>
          <w:highlight w:val="none"/>
          <w:lang w:eastAsia="zh-CN"/>
        </w:rPr>
        <w:t>，如不能</w:t>
      </w:r>
      <w:r>
        <w:rPr>
          <w:rFonts w:hint="eastAsia"/>
          <w:highlight w:val="none"/>
          <w:lang w:val="en-US" w:eastAsia="zh-CN"/>
        </w:rPr>
        <w:t>提供</w:t>
      </w:r>
      <w:r>
        <w:rPr>
          <w:rFonts w:hint="eastAsia"/>
          <w:highlight w:val="none"/>
          <w:lang w:eastAsia="zh-CN"/>
        </w:rPr>
        <w:t>，采购人有权取消中标人的中标资格并追究其虚假应标责任</w:t>
      </w:r>
      <w:r>
        <w:rPr>
          <w:rFonts w:hint="eastAsia" w:ascii="宋体" w:hAnsi="宋体" w:cs="宋体"/>
          <w:color w:val="000000"/>
          <w:highlight w:val="none"/>
          <w:lang w:val="en-US" w:eastAsia="zh-CN"/>
        </w:rPr>
        <w:t>）</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highlight w:val="none"/>
        </w:rPr>
      </w:pPr>
      <w:r>
        <w:rPr>
          <w:rFonts w:hint="eastAsia" w:ascii="宋体" w:hAnsi="宋体" w:eastAsia="宋体" w:cs="宋体"/>
          <w:color w:val="000000"/>
          <w:highlight w:val="none"/>
        </w:rPr>
        <w:t>可自动检测电池剩余容量，低于指定容量后设备自动发送电量告警短信；</w:t>
      </w:r>
      <w:r>
        <w:rPr>
          <w:rFonts w:hint="eastAsia" w:ascii="宋体" w:hAnsi="宋体" w:cs="宋体"/>
          <w:color w:val="000000"/>
          <w:highlight w:val="none"/>
          <w:lang w:eastAsia="zh-CN"/>
        </w:rPr>
        <w:t>（</w:t>
      </w:r>
      <w:r>
        <w:rPr>
          <w:rFonts w:hint="eastAsia" w:ascii="宋体" w:hAnsi="宋体" w:cs="宋体"/>
          <w:color w:val="000000"/>
          <w:highlight w:val="none"/>
          <w:lang w:val="en-US" w:eastAsia="zh-CN"/>
        </w:rPr>
        <w:t>提供投标方具有的</w:t>
      </w:r>
      <w:r>
        <w:rPr>
          <w:rFonts w:hint="eastAsia" w:ascii="宋体" w:hAnsi="宋体" w:eastAsia="宋体" w:cs="宋体"/>
          <w:bCs/>
          <w:sz w:val="21"/>
          <w:szCs w:val="21"/>
          <w:highlight w:val="none"/>
        </w:rPr>
        <w:t>第三方</w:t>
      </w:r>
      <w:r>
        <w:rPr>
          <w:rFonts w:hint="eastAsia" w:ascii="宋体" w:hAnsi="宋体" w:cs="宋体"/>
          <w:bCs/>
          <w:sz w:val="21"/>
          <w:szCs w:val="21"/>
          <w:highlight w:val="none"/>
          <w:lang w:val="en-US" w:eastAsia="zh-CN"/>
        </w:rPr>
        <w:t>具有</w:t>
      </w:r>
      <w:r>
        <w:rPr>
          <w:rFonts w:hint="eastAsia" w:ascii="宋体" w:hAnsi="宋体" w:eastAsia="宋体" w:cs="宋体"/>
          <w:bCs/>
          <w:sz w:val="21"/>
          <w:szCs w:val="21"/>
          <w:highlight w:val="none"/>
        </w:rPr>
        <w:t>CNAS认证的</w:t>
      </w:r>
      <w:r>
        <w:rPr>
          <w:rFonts w:hint="eastAsia" w:ascii="宋体" w:hAnsi="宋体" w:eastAsia="宋体" w:cs="宋体"/>
          <w:bCs/>
          <w:sz w:val="21"/>
          <w:szCs w:val="21"/>
          <w:highlight w:val="none"/>
          <w:lang w:val="en-US" w:eastAsia="zh-CN"/>
        </w:rPr>
        <w:t>电池低功耗</w:t>
      </w:r>
      <w:r>
        <w:rPr>
          <w:rFonts w:hint="eastAsia" w:ascii="宋体" w:hAnsi="宋体" w:cs="宋体"/>
          <w:bCs/>
          <w:sz w:val="21"/>
          <w:szCs w:val="21"/>
          <w:highlight w:val="none"/>
          <w:lang w:val="en-US" w:eastAsia="zh-CN"/>
        </w:rPr>
        <w:t>检测</w:t>
      </w:r>
      <w:r>
        <w:rPr>
          <w:rFonts w:hint="eastAsia" w:ascii="宋体" w:hAnsi="宋体" w:eastAsia="宋体" w:cs="宋体"/>
          <w:bCs/>
          <w:sz w:val="21"/>
          <w:szCs w:val="21"/>
          <w:highlight w:val="none"/>
        </w:rPr>
        <w:t>报告</w:t>
      </w:r>
      <w:r>
        <w:rPr>
          <w:rFonts w:hint="eastAsia" w:ascii="宋体" w:hAnsi="宋体" w:eastAsia="宋体" w:cs="宋体"/>
          <w:bCs/>
          <w:sz w:val="21"/>
          <w:szCs w:val="21"/>
          <w:highlight w:val="none"/>
          <w:lang w:eastAsia="zh-CN"/>
        </w:rPr>
        <w:t>，</w:t>
      </w:r>
      <w:r>
        <w:rPr>
          <w:rFonts w:hint="eastAsia"/>
          <w:highlight w:val="none"/>
          <w:lang w:val="en-US" w:eastAsia="zh-CN"/>
        </w:rPr>
        <w:t>投标人需</w:t>
      </w:r>
      <w:r>
        <w:rPr>
          <w:rFonts w:hint="eastAsia"/>
          <w:highlight w:val="none"/>
          <w:lang w:eastAsia="zh-CN"/>
        </w:rPr>
        <w:t>承诺在中标后五个工作日内</w:t>
      </w:r>
      <w:r>
        <w:rPr>
          <w:rFonts w:hint="eastAsia"/>
          <w:highlight w:val="none"/>
          <w:lang w:val="en-US" w:eastAsia="zh-CN"/>
        </w:rPr>
        <w:t>提供原件核查</w:t>
      </w:r>
      <w:r>
        <w:rPr>
          <w:rFonts w:hint="eastAsia"/>
          <w:highlight w:val="none"/>
          <w:lang w:eastAsia="zh-CN"/>
        </w:rPr>
        <w:t>，如不能</w:t>
      </w:r>
      <w:r>
        <w:rPr>
          <w:rFonts w:hint="eastAsia"/>
          <w:highlight w:val="none"/>
          <w:lang w:val="en-US" w:eastAsia="zh-CN"/>
        </w:rPr>
        <w:t>提供</w:t>
      </w:r>
      <w:r>
        <w:rPr>
          <w:rFonts w:hint="eastAsia"/>
          <w:highlight w:val="none"/>
          <w:lang w:eastAsia="zh-CN"/>
        </w:rPr>
        <w:t>，采购人有权取消中标人的中标资格并追究其虚假应标责任</w:t>
      </w:r>
      <w:r>
        <w:rPr>
          <w:rFonts w:hint="eastAsia" w:ascii="宋体" w:hAnsi="宋体" w:cs="宋体"/>
          <w:color w:val="000000"/>
          <w:highlight w:val="none"/>
          <w:lang w:eastAsia="zh-CN"/>
        </w:rPr>
        <w:t>）</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highlight w:val="none"/>
        </w:rPr>
      </w:pPr>
      <w:r>
        <w:rPr>
          <w:rFonts w:hint="eastAsia" w:ascii="宋体" w:hAnsi="宋体" w:eastAsia="宋体" w:cs="宋体"/>
          <w:color w:val="000000"/>
          <w:highlight w:val="none"/>
        </w:rPr>
        <w:t>自动检测采集器故障，并报告故障；</w:t>
      </w:r>
      <w:r>
        <w:rPr>
          <w:rFonts w:hint="eastAsia" w:ascii="宋体" w:hAnsi="宋体" w:cs="宋体"/>
          <w:color w:val="000000"/>
          <w:highlight w:val="none"/>
          <w:lang w:eastAsia="zh-CN"/>
        </w:rPr>
        <w:t>（</w:t>
      </w:r>
      <w:r>
        <w:rPr>
          <w:rFonts w:hint="eastAsia" w:ascii="宋体" w:hAnsi="宋体" w:cs="宋体"/>
          <w:kern w:val="0"/>
          <w:sz w:val="21"/>
          <w:szCs w:val="21"/>
          <w:lang w:val="en-US" w:eastAsia="zh-CN"/>
        </w:rPr>
        <w:t>提供投标方具有的</w:t>
      </w:r>
      <w:r>
        <w:rPr>
          <w:rFonts w:hint="eastAsia" w:ascii="宋体" w:hAnsi="宋体" w:eastAsia="宋体" w:cs="宋体"/>
          <w:kern w:val="0"/>
          <w:sz w:val="21"/>
          <w:szCs w:val="21"/>
          <w:lang w:val="en-US" w:eastAsia="zh-CN"/>
        </w:rPr>
        <w:t>国家级仪器仪表防爆安全监督</w:t>
      </w:r>
      <w:r>
        <w:rPr>
          <w:rFonts w:hint="eastAsia" w:ascii="宋体" w:hAnsi="宋体" w:cs="宋体"/>
          <w:kern w:val="0"/>
          <w:sz w:val="21"/>
          <w:szCs w:val="21"/>
          <w:lang w:val="en-US" w:eastAsia="zh-CN"/>
        </w:rPr>
        <w:t>检验</w:t>
      </w:r>
      <w:r>
        <w:rPr>
          <w:rFonts w:hint="eastAsia" w:ascii="宋体" w:hAnsi="宋体" w:eastAsia="宋体" w:cs="宋体"/>
          <w:kern w:val="0"/>
          <w:sz w:val="21"/>
          <w:szCs w:val="21"/>
          <w:lang w:val="en-US" w:eastAsia="zh-CN"/>
        </w:rPr>
        <w:t>站出具的</w:t>
      </w:r>
      <w:r>
        <w:rPr>
          <w:rFonts w:hint="eastAsia" w:ascii="宋体" w:hAnsi="宋体" w:eastAsia="宋体" w:cs="宋体"/>
          <w:kern w:val="0"/>
          <w:sz w:val="21"/>
          <w:szCs w:val="21"/>
        </w:rPr>
        <w:t>《防爆电气设备防爆合格证》</w:t>
      </w:r>
      <w:r>
        <w:rPr>
          <w:rFonts w:hint="eastAsia" w:ascii="宋体" w:hAnsi="宋体" w:cs="宋体"/>
          <w:kern w:val="0"/>
          <w:sz w:val="21"/>
          <w:szCs w:val="21"/>
          <w:lang w:eastAsia="zh-CN"/>
        </w:rPr>
        <w:t>，</w:t>
      </w:r>
      <w:r>
        <w:rPr>
          <w:rFonts w:hint="eastAsia"/>
          <w:highlight w:val="none"/>
          <w:lang w:val="en-US" w:eastAsia="zh-CN"/>
        </w:rPr>
        <w:t>投标人需</w:t>
      </w:r>
      <w:r>
        <w:rPr>
          <w:rFonts w:hint="eastAsia"/>
          <w:highlight w:val="none"/>
          <w:lang w:eastAsia="zh-CN"/>
        </w:rPr>
        <w:t>承诺在中标后五个工作日内</w:t>
      </w:r>
      <w:r>
        <w:rPr>
          <w:rFonts w:hint="eastAsia"/>
          <w:highlight w:val="none"/>
          <w:lang w:val="en-US" w:eastAsia="zh-CN"/>
        </w:rPr>
        <w:t>提供原件核查</w:t>
      </w:r>
      <w:r>
        <w:rPr>
          <w:rFonts w:hint="eastAsia"/>
          <w:highlight w:val="none"/>
          <w:lang w:eastAsia="zh-CN"/>
        </w:rPr>
        <w:t>，如不能</w:t>
      </w:r>
      <w:r>
        <w:rPr>
          <w:rFonts w:hint="eastAsia"/>
          <w:highlight w:val="none"/>
          <w:lang w:val="en-US" w:eastAsia="zh-CN"/>
        </w:rPr>
        <w:t>提供</w:t>
      </w:r>
      <w:r>
        <w:rPr>
          <w:rFonts w:hint="eastAsia"/>
          <w:highlight w:val="none"/>
          <w:lang w:eastAsia="zh-CN"/>
        </w:rPr>
        <w:t>，采购人有权取消中标人的中标资格并追究其虚假应标责任</w:t>
      </w:r>
      <w:r>
        <w:rPr>
          <w:rFonts w:hint="eastAsia" w:ascii="宋体" w:hAnsi="宋体" w:cs="宋体"/>
          <w:color w:val="000000"/>
          <w:highlight w:val="none"/>
          <w:lang w:eastAsia="zh-CN"/>
        </w:rPr>
        <w:t>）</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color w:val="000000"/>
          <w:highlight w:val="none"/>
        </w:rPr>
      </w:pPr>
      <w:r>
        <w:rPr>
          <w:rFonts w:hint="eastAsia" w:ascii="宋体" w:hAnsi="宋体" w:eastAsia="宋体" w:cs="宋体"/>
          <w:color w:val="000000"/>
          <w:highlight w:val="none"/>
        </w:rPr>
        <w:t>无线测温标签用户可自行拆卸维护以便于探头精度年度校准；</w:t>
      </w:r>
    </w:p>
    <w:p>
      <w:pPr>
        <w:pStyle w:val="13"/>
        <w:pageBreakBefore w:val="0"/>
        <w:numPr>
          <w:ilvl w:val="0"/>
          <w:numId w:val="2"/>
        </w:numPr>
        <w:wordWrap/>
        <w:topLinePunct w:val="0"/>
        <w:bidi w:val="0"/>
        <w:spacing w:line="360" w:lineRule="auto"/>
        <w:ind w:left="0" w:leftChars="0" w:firstLine="420" w:firstLineChars="200"/>
        <w:rPr>
          <w:rFonts w:hint="eastAsia" w:ascii="宋体" w:hAnsi="宋体" w:eastAsia="宋体" w:cs="宋体"/>
          <w:b/>
          <w:bCs/>
          <w:color w:val="auto"/>
          <w:sz w:val="21"/>
          <w:szCs w:val="21"/>
          <w:highlight w:val="none"/>
          <w:lang w:val="en-US" w:eastAsia="zh-CN"/>
        </w:rPr>
      </w:pPr>
      <w:r>
        <w:rPr>
          <w:rFonts w:hint="eastAsia" w:ascii="宋体" w:hAnsi="宋体" w:cs="宋体"/>
          <w:b w:val="0"/>
          <w:bCs w:val="0"/>
          <w:color w:val="000000"/>
          <w:highlight w:val="none"/>
          <w:lang w:val="en-US" w:eastAsia="zh-CN"/>
        </w:rPr>
        <w:t>产品</w:t>
      </w:r>
      <w:r>
        <w:rPr>
          <w:rFonts w:hint="eastAsia" w:ascii="宋体" w:hAnsi="宋体" w:eastAsia="宋体" w:cs="宋体"/>
          <w:b w:val="0"/>
          <w:bCs w:val="0"/>
          <w:color w:val="000000"/>
          <w:highlight w:val="none"/>
        </w:rPr>
        <w:t>的</w:t>
      </w:r>
      <w:r>
        <w:rPr>
          <w:rFonts w:hint="eastAsia" w:ascii="宋体" w:hAnsi="宋体" w:eastAsia="宋体" w:cs="宋体"/>
          <w:color w:val="000000"/>
          <w:highlight w:val="none"/>
        </w:rPr>
        <w:t>防护等级（防尘、防水）≥IP68；</w:t>
      </w:r>
      <w:r>
        <w:rPr>
          <w:rFonts w:hint="eastAsia" w:ascii="宋体" w:hAnsi="宋体" w:cs="宋体"/>
          <w:color w:val="000000"/>
          <w:highlight w:val="none"/>
          <w:lang w:eastAsia="zh-CN"/>
        </w:rPr>
        <w:t>（</w:t>
      </w:r>
      <w:r>
        <w:rPr>
          <w:rFonts w:hint="eastAsia" w:ascii="宋体" w:hAnsi="宋体" w:cs="宋体"/>
          <w:color w:val="000000"/>
          <w:highlight w:val="none"/>
          <w:lang w:val="en-US" w:eastAsia="zh-CN"/>
        </w:rPr>
        <w:t>提供投标方具有的</w:t>
      </w:r>
      <w:r>
        <w:rPr>
          <w:rFonts w:hint="eastAsia" w:ascii="宋体" w:hAnsi="宋体" w:eastAsia="宋体" w:cs="宋体"/>
          <w:bCs/>
          <w:sz w:val="21"/>
          <w:szCs w:val="21"/>
          <w:highlight w:val="none"/>
        </w:rPr>
        <w:t>第三方</w:t>
      </w:r>
      <w:r>
        <w:rPr>
          <w:rFonts w:hint="eastAsia" w:ascii="宋体" w:hAnsi="宋体" w:cs="宋体"/>
          <w:bCs/>
          <w:sz w:val="21"/>
          <w:szCs w:val="21"/>
          <w:highlight w:val="none"/>
          <w:lang w:val="en-US" w:eastAsia="zh-CN"/>
        </w:rPr>
        <w:t>具有</w:t>
      </w:r>
      <w:r>
        <w:rPr>
          <w:rFonts w:hint="eastAsia" w:ascii="宋体" w:hAnsi="宋体" w:eastAsia="宋体" w:cs="宋体"/>
          <w:bCs/>
          <w:sz w:val="21"/>
          <w:szCs w:val="21"/>
          <w:highlight w:val="none"/>
        </w:rPr>
        <w:t>CNAS认证的防水防尘IP≥IP6</w:t>
      </w:r>
      <w:r>
        <w:rPr>
          <w:rFonts w:hint="eastAsia" w:ascii="宋体" w:hAnsi="宋体" w:eastAsia="宋体" w:cs="宋体"/>
          <w:bCs/>
          <w:sz w:val="21"/>
          <w:szCs w:val="21"/>
          <w:highlight w:val="none"/>
          <w:lang w:val="en-US" w:eastAsia="zh-CN"/>
        </w:rPr>
        <w:t>8</w:t>
      </w:r>
      <w:r>
        <w:rPr>
          <w:rFonts w:hint="eastAsia" w:ascii="宋体" w:hAnsi="宋体" w:eastAsia="宋体" w:cs="宋体"/>
          <w:bCs/>
          <w:sz w:val="21"/>
          <w:szCs w:val="21"/>
          <w:highlight w:val="none"/>
        </w:rPr>
        <w:t>的认证标志</w:t>
      </w:r>
      <w:r>
        <w:rPr>
          <w:rFonts w:hint="eastAsia" w:ascii="宋体" w:hAnsi="宋体" w:cs="宋体"/>
          <w:bCs/>
          <w:sz w:val="21"/>
          <w:szCs w:val="21"/>
          <w:highlight w:val="none"/>
          <w:lang w:val="en-US" w:eastAsia="zh-CN"/>
        </w:rPr>
        <w:t>的检测</w:t>
      </w:r>
      <w:r>
        <w:rPr>
          <w:rFonts w:hint="eastAsia" w:ascii="宋体" w:hAnsi="宋体" w:eastAsia="宋体" w:cs="宋体"/>
          <w:bCs/>
          <w:sz w:val="21"/>
          <w:szCs w:val="21"/>
          <w:highlight w:val="none"/>
        </w:rPr>
        <w:t>报告</w:t>
      </w:r>
      <w:r>
        <w:rPr>
          <w:rFonts w:hint="eastAsia" w:ascii="宋体" w:hAnsi="宋体" w:eastAsia="宋体" w:cs="宋体"/>
          <w:bCs/>
          <w:sz w:val="21"/>
          <w:szCs w:val="21"/>
          <w:highlight w:val="none"/>
          <w:lang w:eastAsia="zh-CN"/>
        </w:rPr>
        <w:t>，</w:t>
      </w:r>
      <w:r>
        <w:rPr>
          <w:rFonts w:hint="eastAsia"/>
          <w:highlight w:val="none"/>
          <w:lang w:val="en-US" w:eastAsia="zh-CN"/>
        </w:rPr>
        <w:t>投标人需</w:t>
      </w:r>
      <w:r>
        <w:rPr>
          <w:rFonts w:hint="eastAsia"/>
          <w:highlight w:val="none"/>
          <w:lang w:eastAsia="zh-CN"/>
        </w:rPr>
        <w:t>承诺在中标后五个工作日内</w:t>
      </w:r>
      <w:r>
        <w:rPr>
          <w:rFonts w:hint="eastAsia"/>
          <w:highlight w:val="none"/>
          <w:lang w:val="en-US" w:eastAsia="zh-CN"/>
        </w:rPr>
        <w:t>提供原件核查</w:t>
      </w:r>
      <w:r>
        <w:rPr>
          <w:rFonts w:hint="eastAsia"/>
          <w:highlight w:val="none"/>
          <w:lang w:eastAsia="zh-CN"/>
        </w:rPr>
        <w:t>，如不能</w:t>
      </w:r>
      <w:r>
        <w:rPr>
          <w:rFonts w:hint="eastAsia"/>
          <w:highlight w:val="none"/>
          <w:lang w:val="en-US" w:eastAsia="zh-CN"/>
        </w:rPr>
        <w:t>提供</w:t>
      </w:r>
      <w:r>
        <w:rPr>
          <w:rFonts w:hint="eastAsia"/>
          <w:highlight w:val="none"/>
          <w:lang w:eastAsia="zh-CN"/>
        </w:rPr>
        <w:t>，采购人有权取消中标人的中标资格并追究其虚假应标责任</w:t>
      </w:r>
      <w:r>
        <w:rPr>
          <w:rFonts w:hint="eastAsia" w:ascii="宋体" w:hAnsi="宋体" w:cs="宋体"/>
          <w:color w:val="000000"/>
          <w:highlight w:val="none"/>
          <w:lang w:eastAsia="zh-CN"/>
        </w:rPr>
        <w:t>）</w:t>
      </w:r>
    </w:p>
    <w:p>
      <w:pPr>
        <w:keepNext w:val="0"/>
        <w:keepLines w:val="0"/>
        <w:pageBreakBefore w:val="0"/>
        <w:widowControl/>
        <w:numPr>
          <w:ilvl w:val="0"/>
          <w:numId w:val="1"/>
        </w:numPr>
        <w:kinsoku/>
        <w:wordWrap/>
        <w:overflowPunct/>
        <w:topLinePunct w:val="0"/>
        <w:autoSpaceDE w:val="0"/>
        <w:autoSpaceDN w:val="0"/>
        <w:bidi w:val="0"/>
        <w:adjustRightInd/>
        <w:snapToGrid/>
        <w:spacing w:before="0" w:after="0" w:line="360" w:lineRule="auto"/>
        <w:ind w:left="425" w:leftChars="0" w:right="0" w:rightChars="0" w:hanging="425" w:firstLineChars="0"/>
        <w:jc w:val="both"/>
        <w:textAlignment w:val="bottom"/>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冷链监测</w:t>
      </w:r>
      <w:r>
        <w:rPr>
          <w:rFonts w:hint="eastAsia" w:ascii="宋体" w:hAnsi="宋体" w:cs="宋体"/>
          <w:b/>
          <w:bCs/>
          <w:color w:val="auto"/>
          <w:sz w:val="21"/>
          <w:szCs w:val="21"/>
          <w:highlight w:val="none"/>
          <w:lang w:val="en-US" w:eastAsia="zh-CN"/>
        </w:rPr>
        <w:t>主机模块</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rPr>
      </w:pPr>
      <w:r>
        <w:rPr>
          <w:rFonts w:hint="eastAsia" w:ascii="宋体" w:hAnsi="宋体" w:eastAsia="宋体" w:cs="宋体"/>
          <w:color w:val="000000"/>
        </w:rPr>
        <w:t>用于接收无线测温标签发射的温度数据，并通过内置的无线通讯模块上传数据至云平台，内置中国移动SIM卡；</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rPr>
      </w:pPr>
      <w:r>
        <w:rPr>
          <w:rFonts w:hint="eastAsia" w:ascii="宋体" w:hAnsi="宋体" w:cs="宋体"/>
          <w:color w:val="000000"/>
          <w:szCs w:val="21"/>
        </w:rPr>
        <w:t>必须采用4G的无线通讯模块，并提供运营商授权的证明材料；（需提供运营商授权的证明材料）</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rPr>
      </w:pPr>
      <w:r>
        <w:rPr>
          <w:rFonts w:hint="eastAsia" w:ascii="宋体" w:hAnsi="宋体" w:cs="宋体"/>
          <w:color w:val="000000"/>
          <w:lang w:val="en-US" w:eastAsia="zh-CN"/>
        </w:rPr>
        <w:t>冷链监测主机至少</w:t>
      </w:r>
      <w:r>
        <w:rPr>
          <w:rFonts w:hint="eastAsia" w:ascii="宋体" w:hAnsi="宋体" w:eastAsia="宋体" w:cs="宋体"/>
          <w:color w:val="000000"/>
        </w:rPr>
        <w:t>能够显示40个温度数据以上；</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rPr>
      </w:pPr>
      <w:r>
        <w:rPr>
          <w:rFonts w:hint="eastAsia" w:ascii="宋体" w:hAnsi="宋体" w:cs="宋体"/>
          <w:color w:val="000000"/>
          <w:lang w:val="en-US" w:eastAsia="zh-CN"/>
        </w:rPr>
        <w:t>当超温时，主机屏幕的字体可以通过红色字体显示，便于提醒现场操作人员（需提供产品图片证明）；</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rPr>
      </w:pPr>
      <w:r>
        <w:rPr>
          <w:rFonts w:hint="eastAsia" w:ascii="宋体" w:hAnsi="宋体" w:eastAsia="宋体" w:cs="宋体"/>
          <w:color w:val="000000"/>
          <w:lang w:val="en-US" w:eastAsia="zh-CN"/>
        </w:rPr>
        <w:t>冷链监测主机具有抗跌落性，在1米</w:t>
      </w:r>
      <w:r>
        <w:rPr>
          <w:rFonts w:hint="eastAsia" w:ascii="宋体" w:hAnsi="宋体" w:cs="宋体"/>
          <w:color w:val="000000"/>
          <w:lang w:val="en-US" w:eastAsia="zh-CN"/>
        </w:rPr>
        <w:t>及</w:t>
      </w:r>
      <w:r>
        <w:rPr>
          <w:rFonts w:hint="eastAsia" w:ascii="宋体" w:hAnsi="宋体" w:eastAsia="宋体" w:cs="宋体"/>
          <w:color w:val="000000"/>
          <w:lang w:val="en-US" w:eastAsia="zh-CN"/>
        </w:rPr>
        <w:t>以上的高度跌落产品性能正常且能够稳定工作；（</w:t>
      </w:r>
      <w:r>
        <w:rPr>
          <w:rFonts w:hint="eastAsia" w:ascii="宋体" w:hAnsi="宋体" w:cs="宋体"/>
          <w:color w:val="000000"/>
          <w:highlight w:val="none"/>
          <w:lang w:val="en-US" w:eastAsia="zh-CN"/>
        </w:rPr>
        <w:t>提供投标方具有的第三方具有CMA和CNAS标识的证书，</w:t>
      </w:r>
      <w:r>
        <w:rPr>
          <w:rFonts w:hint="eastAsia"/>
          <w:highlight w:val="none"/>
          <w:lang w:val="en-US" w:eastAsia="zh-CN"/>
        </w:rPr>
        <w:t>投标人需</w:t>
      </w:r>
      <w:r>
        <w:rPr>
          <w:rFonts w:hint="eastAsia"/>
          <w:highlight w:val="none"/>
          <w:lang w:eastAsia="zh-CN"/>
        </w:rPr>
        <w:t>承诺在中标后五个工作日内</w:t>
      </w:r>
      <w:r>
        <w:rPr>
          <w:rFonts w:hint="eastAsia"/>
          <w:highlight w:val="none"/>
          <w:lang w:val="en-US" w:eastAsia="zh-CN"/>
        </w:rPr>
        <w:t>提供原件核查</w:t>
      </w:r>
      <w:r>
        <w:rPr>
          <w:rFonts w:hint="eastAsia"/>
          <w:highlight w:val="none"/>
          <w:lang w:eastAsia="zh-CN"/>
        </w:rPr>
        <w:t>，如不能</w:t>
      </w:r>
      <w:r>
        <w:rPr>
          <w:rFonts w:hint="eastAsia"/>
          <w:highlight w:val="none"/>
          <w:lang w:val="en-US" w:eastAsia="zh-CN"/>
        </w:rPr>
        <w:t>提供</w:t>
      </w:r>
      <w:r>
        <w:rPr>
          <w:rFonts w:hint="eastAsia"/>
          <w:highlight w:val="none"/>
          <w:lang w:eastAsia="zh-CN"/>
        </w:rPr>
        <w:t>，采购人有权取消中标人的中标资格并追究其虚假应标责任</w:t>
      </w:r>
      <w:r>
        <w:rPr>
          <w:rFonts w:hint="eastAsia" w:ascii="宋体" w:hAnsi="宋体" w:eastAsia="宋体" w:cs="宋体"/>
          <w:color w:val="000000"/>
          <w:lang w:val="en-US" w:eastAsia="zh-CN"/>
        </w:rPr>
        <w:t>）；</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rPr>
      </w:pPr>
      <w:r>
        <w:rPr>
          <w:rFonts w:hint="eastAsia" w:ascii="宋体" w:hAnsi="宋体" w:eastAsia="宋体" w:cs="宋体"/>
          <w:color w:val="000000"/>
        </w:rPr>
        <w:t>自带数据存储功能（内存≥50000条记录），在服务器宕机时，设备可自行存储接收的实时数据，并在网络恢复时自动上传存储的数据；</w:t>
      </w:r>
    </w:p>
    <w:p>
      <w:pPr>
        <w:pStyle w:val="13"/>
        <w:pageBreakBefore w:val="0"/>
        <w:numPr>
          <w:ilvl w:val="0"/>
          <w:numId w:val="3"/>
        </w:numPr>
        <w:wordWrap/>
        <w:topLinePunct w:val="0"/>
        <w:bidi w:val="0"/>
        <w:spacing w:line="360" w:lineRule="auto"/>
        <w:ind w:left="0" w:leftChars="0" w:firstLine="420" w:firstLineChars="200"/>
        <w:rPr>
          <w:rFonts w:hint="eastAsia" w:ascii="宋体" w:hAnsi="宋体" w:eastAsia="宋体" w:cs="宋体"/>
          <w:color w:val="000000"/>
        </w:rPr>
      </w:pPr>
      <w:r>
        <w:rPr>
          <w:rFonts w:hint="eastAsia" w:ascii="宋体" w:hAnsi="宋体" w:eastAsia="宋体" w:cs="宋体"/>
          <w:color w:val="000000"/>
        </w:rPr>
        <w:t>具有高容量后备电池，容量≥5000毫安，能够在断电情况下继续工作24小时以上；</w:t>
      </w:r>
    </w:p>
    <w:p>
      <w:pPr>
        <w:pStyle w:val="13"/>
        <w:pageBreakBefore w:val="0"/>
        <w:numPr>
          <w:ilvl w:val="0"/>
          <w:numId w:val="3"/>
        </w:numPr>
        <w:wordWrap/>
        <w:topLinePunct w:val="0"/>
        <w:bidi w:val="0"/>
        <w:spacing w:line="360" w:lineRule="auto"/>
        <w:ind w:left="0" w:leftChars="0" w:firstLine="420" w:firstLineChars="200"/>
        <w:rPr>
          <w:rFonts w:hint="eastAsia" w:ascii="宋体" w:hAnsi="宋体" w:cs="宋体"/>
          <w:color w:val="000000"/>
          <w:lang w:val="en-US" w:eastAsia="zh-CN"/>
        </w:rPr>
      </w:pPr>
      <w:r>
        <w:rPr>
          <w:rFonts w:hint="eastAsia" w:ascii="宋体" w:hAnsi="宋体" w:eastAsia="宋体" w:cs="宋体"/>
          <w:color w:val="000000"/>
        </w:rPr>
        <w:t>支持本地声光报警系统：灯光指示、蜂鸣器报警；</w:t>
      </w:r>
    </w:p>
    <w:p>
      <w:pPr>
        <w:pStyle w:val="2"/>
        <w:rPr>
          <w:rFonts w:hint="default"/>
          <w:lang w:val="en-US" w:eastAsia="zh-CN"/>
        </w:rPr>
      </w:pPr>
    </w:p>
    <w:p>
      <w:pPr>
        <w:widowControl/>
        <w:numPr>
          <w:ilvl w:val="0"/>
          <w:numId w:val="0"/>
        </w:numPr>
        <w:spacing w:line="400" w:lineRule="exact"/>
        <w:jc w:val="left"/>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val="en-US" w:eastAsia="zh-CN"/>
        </w:rPr>
        <w:t>、</w:t>
      </w:r>
      <w:r>
        <w:rPr>
          <w:rFonts w:hint="eastAsia" w:ascii="宋体" w:hAnsi="宋体" w:cs="宋体"/>
          <w:b/>
          <w:bCs/>
          <w:color w:val="auto"/>
          <w:sz w:val="21"/>
          <w:szCs w:val="21"/>
          <w:highlight w:val="none"/>
          <w:lang w:val="en-US" w:eastAsia="zh-CN"/>
        </w:rPr>
        <w:t>冷链</w:t>
      </w:r>
      <w:r>
        <w:rPr>
          <w:rFonts w:hint="default" w:ascii="宋体" w:hAnsi="宋体" w:cs="宋体"/>
          <w:b/>
          <w:bCs/>
          <w:color w:val="auto"/>
          <w:sz w:val="21"/>
          <w:szCs w:val="21"/>
          <w:highlight w:val="none"/>
          <w:lang w:val="en-US" w:eastAsia="zh-CN"/>
        </w:rPr>
        <w:t>信息化</w:t>
      </w:r>
      <w:r>
        <w:rPr>
          <w:rFonts w:hint="eastAsia" w:ascii="宋体" w:hAnsi="宋体" w:cs="宋体"/>
          <w:b/>
          <w:bCs/>
          <w:color w:val="auto"/>
          <w:sz w:val="21"/>
          <w:szCs w:val="21"/>
          <w:highlight w:val="none"/>
          <w:lang w:val="en-US" w:eastAsia="zh-CN"/>
        </w:rPr>
        <w:t>管理系统</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实时显示：全程实时监控温湿度数据的同时，数据传输到管理平台并存为历史记录</w:t>
      </w:r>
      <w:r>
        <w:rPr>
          <w:rFonts w:hint="eastAsia" w:ascii="宋体" w:hAnsi="宋体" w:cs="宋体"/>
          <w:color w:val="auto"/>
          <w:sz w:val="21"/>
          <w:szCs w:val="21"/>
          <w:highlight w:val="none"/>
          <w:lang w:eastAsia="zh-CN"/>
        </w:rPr>
        <w:t>；</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限值报警：可设置温湿度上下限报警值，并根据设定的值进行报警；</w:t>
      </w:r>
      <w:r>
        <w:rPr>
          <w:rFonts w:hint="eastAsia" w:ascii="宋体" w:hAnsi="宋体" w:eastAsia="宋体" w:cs="宋体"/>
          <w:color w:val="auto"/>
          <w:sz w:val="21"/>
          <w:szCs w:val="21"/>
          <w:highlight w:val="none"/>
          <w:lang w:val="en-US" w:eastAsia="zh-CN"/>
        </w:rPr>
        <w:t>如冷链温度升级报警可电话语音报警</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可设置多级报警，在一定时间内没有及时处理的报警信息可自动升级并通知相关负责人，升级报警时间可设、报警级别至少支持3个级别</w:t>
      </w:r>
      <w:r>
        <w:rPr>
          <w:rFonts w:hint="eastAsia" w:ascii="宋体" w:hAnsi="宋体" w:cs="宋体"/>
          <w:color w:val="auto"/>
          <w:sz w:val="21"/>
          <w:szCs w:val="21"/>
          <w:highlight w:val="none"/>
          <w:lang w:eastAsia="zh-CN"/>
        </w:rPr>
        <w:t>；</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报警管理：需支持报警事件处理和报警备案功能和管理人员登录及操作日志查询功能；</w:t>
      </w:r>
      <w:r>
        <w:rPr>
          <w:rFonts w:hint="eastAsia" w:ascii="宋体" w:hAnsi="宋体" w:eastAsia="宋体" w:cs="宋体"/>
          <w:bCs/>
          <w:color w:val="auto"/>
          <w:sz w:val="21"/>
          <w:szCs w:val="21"/>
          <w:highlight w:val="none"/>
        </w:rPr>
        <w:t>实时显示产生的</w:t>
      </w:r>
      <w:r>
        <w:rPr>
          <w:rFonts w:hint="eastAsia" w:ascii="宋体" w:hAnsi="宋体" w:eastAsia="宋体" w:cs="宋体"/>
          <w:color w:val="auto"/>
          <w:sz w:val="21"/>
          <w:szCs w:val="21"/>
          <w:highlight w:val="none"/>
        </w:rPr>
        <w:t>报警</w:t>
      </w:r>
      <w:r>
        <w:rPr>
          <w:rFonts w:hint="eastAsia" w:ascii="宋体" w:hAnsi="宋体" w:eastAsia="宋体" w:cs="宋体"/>
          <w:bCs/>
          <w:color w:val="auto"/>
          <w:sz w:val="21"/>
          <w:szCs w:val="21"/>
          <w:highlight w:val="none"/>
        </w:rPr>
        <w:t>信息，可对</w:t>
      </w:r>
      <w:r>
        <w:rPr>
          <w:rFonts w:hint="eastAsia" w:ascii="宋体" w:hAnsi="宋体" w:eastAsia="宋体" w:cs="宋体"/>
          <w:color w:val="auto"/>
          <w:sz w:val="21"/>
          <w:szCs w:val="21"/>
          <w:highlight w:val="none"/>
        </w:rPr>
        <w:t>报警</w:t>
      </w:r>
      <w:r>
        <w:rPr>
          <w:rFonts w:hint="eastAsia" w:ascii="宋体" w:hAnsi="宋体" w:eastAsia="宋体" w:cs="宋体"/>
          <w:bCs/>
          <w:color w:val="auto"/>
          <w:sz w:val="21"/>
          <w:szCs w:val="21"/>
          <w:highlight w:val="none"/>
        </w:rPr>
        <w:t>信息进行处理（处理内容包括：报警原因、处理措施、处理时间以及处理人员等信息）</w:t>
      </w:r>
      <w:r>
        <w:rPr>
          <w:rFonts w:hint="eastAsia" w:ascii="宋体" w:hAnsi="宋体" w:cs="宋体"/>
          <w:bCs/>
          <w:color w:val="auto"/>
          <w:sz w:val="21"/>
          <w:szCs w:val="21"/>
          <w:highlight w:val="none"/>
          <w:lang w:eastAsia="zh-CN"/>
        </w:rPr>
        <w:t>；</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权限：监控系统具有管理权限功能，普通人员只能对数据进行查看，高级管理员可以进行其他的相关设置操作。通过向区疾控和接种单位分配权限，各级用户可以通过该平台查阅对应权限所有的冷链设备参数，设置各项报警功能，远程查看设备当前温度数据，管理报警记录，生成温湿度监测记录清单和图表</w:t>
      </w:r>
      <w:r>
        <w:rPr>
          <w:rFonts w:hint="eastAsia" w:ascii="宋体" w:hAnsi="宋体" w:cs="宋体"/>
          <w:color w:val="auto"/>
          <w:sz w:val="21"/>
          <w:szCs w:val="21"/>
          <w:highlight w:val="none"/>
          <w:lang w:eastAsia="zh-CN"/>
        </w:rPr>
        <w:t>；</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数据自动备份</w:t>
      </w:r>
      <w:r>
        <w:rPr>
          <w:rFonts w:hint="eastAsia" w:ascii="宋体" w:hAnsi="宋体" w:eastAsia="宋体" w:cs="宋体"/>
          <w:color w:val="auto"/>
          <w:kern w:val="0"/>
          <w:sz w:val="21"/>
          <w:szCs w:val="21"/>
          <w:highlight w:val="none"/>
        </w:rPr>
        <w:t>：各类监控、预警、处置等记录后台自动备份，数据永久保存。系统允许选择指定时间区间，将温度数据备份至本地盘，提供离线</w:t>
      </w:r>
      <w:r>
        <w:rPr>
          <w:rFonts w:hint="eastAsia" w:ascii="宋体" w:hAnsi="宋体" w:eastAsia="宋体" w:cs="宋体"/>
          <w:color w:val="auto"/>
          <w:kern w:val="0"/>
          <w:sz w:val="21"/>
          <w:szCs w:val="21"/>
          <w:highlight w:val="none"/>
          <w:lang w:val="en-US" w:eastAsia="zh-CN"/>
        </w:rPr>
        <w:t>冷链数据</w:t>
      </w:r>
      <w:r>
        <w:rPr>
          <w:rFonts w:hint="eastAsia" w:ascii="宋体" w:hAnsi="宋体" w:eastAsia="宋体" w:cs="宋体"/>
          <w:color w:val="auto"/>
          <w:kern w:val="0"/>
          <w:sz w:val="21"/>
          <w:szCs w:val="21"/>
          <w:highlight w:val="none"/>
        </w:rPr>
        <w:t>查询</w:t>
      </w:r>
      <w:r>
        <w:rPr>
          <w:rFonts w:hint="eastAsia" w:ascii="宋体" w:hAnsi="宋体" w:cs="宋体"/>
          <w:color w:val="auto"/>
          <w:kern w:val="0"/>
          <w:sz w:val="21"/>
          <w:szCs w:val="21"/>
          <w:highlight w:val="none"/>
          <w:lang w:val="en-US" w:eastAsia="zh-CN"/>
        </w:rPr>
        <w:t>平台；</w:t>
      </w:r>
    </w:p>
    <w:p>
      <w:pPr>
        <w:keepNext w:val="0"/>
        <w:keepLines w:val="0"/>
        <w:pageBreakBefore w:val="0"/>
        <w:widowControl/>
        <w:numPr>
          <w:ilvl w:val="0"/>
          <w:numId w:val="4"/>
        </w:numPr>
        <w:kinsoku/>
        <w:wordWrap/>
        <w:overflowPunct/>
        <w:topLinePunct w:val="0"/>
        <w:autoSpaceDE w:val="0"/>
        <w:autoSpaceDN w:val="0"/>
        <w:bidi w:val="0"/>
        <w:adjustRightInd/>
        <w:snapToGrid/>
        <w:spacing w:before="0" w:after="0" w:line="360" w:lineRule="auto"/>
        <w:ind w:left="425" w:leftChars="0" w:right="0" w:rightChars="0" w:hanging="425" w:firstLineChars="0"/>
        <w:textAlignment w:val="bottom"/>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远程</w:t>
      </w:r>
      <w:r>
        <w:rPr>
          <w:rFonts w:hint="eastAsia" w:ascii="宋体" w:hAnsi="宋体" w:eastAsia="宋体" w:cs="宋体"/>
          <w:color w:val="auto"/>
          <w:sz w:val="21"/>
          <w:szCs w:val="21"/>
          <w:highlight w:val="none"/>
          <w:lang w:val="en-US" w:eastAsia="zh-CN"/>
        </w:rPr>
        <w:t>手机微信</w:t>
      </w:r>
      <w:r>
        <w:rPr>
          <w:rFonts w:hint="eastAsia" w:ascii="宋体" w:hAnsi="宋体" w:eastAsia="宋体" w:cs="宋体"/>
          <w:color w:val="auto"/>
          <w:sz w:val="21"/>
          <w:szCs w:val="21"/>
          <w:highlight w:val="none"/>
        </w:rPr>
        <w:t>端浏览：支持将实时数据传输到管理平台，平台数据与监测主机数据同步，可通过手机移动端等的微信进行管理</w:t>
      </w:r>
      <w:r>
        <w:rPr>
          <w:rFonts w:hint="eastAsia" w:ascii="宋体" w:hAnsi="宋体" w:cs="宋体"/>
          <w:color w:val="auto"/>
          <w:sz w:val="21"/>
          <w:szCs w:val="21"/>
          <w:highlight w:val="none"/>
          <w:lang w:eastAsia="zh-CN"/>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auto"/>
          <w:sz w:val="21"/>
          <w:szCs w:val="21"/>
          <w:highlight w:val="none"/>
        </w:rPr>
      </w:pPr>
      <w:r>
        <w:rPr>
          <w:rFonts w:hint="eastAsia" w:ascii="宋体" w:hAnsi="宋体" w:eastAsia="宋体" w:cs="宋体"/>
          <w:color w:val="000000"/>
          <w:sz w:val="21"/>
          <w:szCs w:val="21"/>
        </w:rPr>
        <w:t>冷链装备评估报表：分析冰箱制冷系统运行的稳定性和制冷效果；建立数据方差模型，通过数据模型分析冰箱的压缩机性能，同时判定冰箱的制冷效果；（投标方需提供数学模型的算法方案</w:t>
      </w:r>
      <w:r>
        <w:rPr>
          <w:rFonts w:hint="eastAsia" w:hAnsi="宋体" w:cs="宋体"/>
          <w:color w:val="000000"/>
          <w:sz w:val="21"/>
          <w:szCs w:val="21"/>
          <w:lang w:val="en-US" w:eastAsia="zh-CN"/>
        </w:rPr>
        <w:t>说明</w:t>
      </w:r>
      <w:r>
        <w:rPr>
          <w:rFonts w:hint="eastAsia" w:ascii="宋体" w:hAnsi="宋体" w:eastAsia="宋体" w:cs="宋体"/>
          <w:color w:val="000000"/>
          <w:sz w:val="21"/>
          <w:szCs w:val="21"/>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auto"/>
          <w:sz w:val="21"/>
          <w:szCs w:val="21"/>
          <w:highlight w:val="none"/>
        </w:rPr>
      </w:pPr>
      <w:r>
        <w:rPr>
          <w:rFonts w:hint="eastAsia" w:ascii="宋体" w:hAnsi="宋体" w:eastAsia="宋体" w:cs="宋体"/>
          <w:color w:val="000000"/>
          <w:sz w:val="21"/>
          <w:szCs w:val="21"/>
        </w:rPr>
        <w:t>单位冷链绩效评估报表：建立多维度的单位冷链管理评估值模型，该模型通过冷链设备总数、报警总数、人为报警次数、未处理次数以及登陆系统次数等5个维度建立数学模型，并综合评估各级单位的冷链绩效；（投标方需提供数学模型的算法方案</w:t>
      </w:r>
      <w:r>
        <w:rPr>
          <w:rFonts w:hint="eastAsia" w:hAnsi="宋体" w:cs="宋体"/>
          <w:color w:val="000000"/>
          <w:sz w:val="21"/>
          <w:szCs w:val="21"/>
          <w:lang w:val="en-US" w:eastAsia="zh-CN"/>
        </w:rPr>
        <w:t>说明</w:t>
      </w:r>
      <w:r>
        <w:rPr>
          <w:rFonts w:hint="eastAsia" w:ascii="宋体" w:hAnsi="宋体" w:eastAsia="宋体" w:cs="宋体"/>
          <w:color w:val="000000"/>
          <w:sz w:val="21"/>
          <w:szCs w:val="21"/>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安全登录身份认证机制：需提供登陆双控认证机制，不仅需账号和密码的授权认证，登陆异常（密码连续报错、异地登录等）能提供手机短信认证</w:t>
      </w:r>
      <w:r>
        <w:rPr>
          <w:rFonts w:hint="eastAsia" w:hAnsi="宋体" w:cs="宋体"/>
          <w:color w:val="auto"/>
          <w:sz w:val="21"/>
          <w:szCs w:val="21"/>
          <w:highlight w:val="none"/>
          <w:lang w:eastAsia="zh-CN"/>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冷链监测系统报表必须满足温度平均动力学温度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MKT算法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的计算报表</w:t>
      </w:r>
      <w:r>
        <w:rPr>
          <w:rFonts w:hint="eastAsia" w:hAnsi="宋体" w:cs="宋体"/>
          <w:color w:val="auto"/>
          <w:sz w:val="21"/>
          <w:szCs w:val="21"/>
          <w:highlight w:val="none"/>
          <w:lang w:eastAsia="zh-CN"/>
        </w:rPr>
        <w:t>；（</w:t>
      </w:r>
      <w:r>
        <w:rPr>
          <w:rFonts w:hint="eastAsia" w:ascii="宋体" w:hAnsi="宋体" w:eastAsia="宋体" w:cs="宋体"/>
          <w:color w:val="000000"/>
          <w:sz w:val="21"/>
          <w:szCs w:val="21"/>
        </w:rPr>
        <w:t>投标方需提供数学模型的算法方案</w:t>
      </w:r>
      <w:r>
        <w:rPr>
          <w:rFonts w:hint="eastAsia" w:hAnsi="宋体" w:cs="宋体"/>
          <w:color w:val="000000"/>
          <w:sz w:val="21"/>
          <w:szCs w:val="21"/>
          <w:lang w:val="en-US" w:eastAsia="zh-CN"/>
        </w:rPr>
        <w:t>说明</w:t>
      </w:r>
      <w:r>
        <w:rPr>
          <w:rFonts w:hint="eastAsia" w:hAnsi="宋体" w:cs="宋体"/>
          <w:color w:val="auto"/>
          <w:sz w:val="21"/>
          <w:szCs w:val="21"/>
          <w:highlight w:val="none"/>
          <w:lang w:eastAsia="zh-CN"/>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系统具有冷链设备档案管理功能；冷链监测系统需建立冷链设备的档案管理功能，对于冷库/冰箱/冷藏</w:t>
      </w:r>
      <w:r>
        <w:rPr>
          <w:rFonts w:hint="eastAsia" w:hAnsi="宋体" w:cs="宋体"/>
          <w:color w:val="auto"/>
          <w:sz w:val="21"/>
          <w:szCs w:val="21"/>
          <w:highlight w:val="none"/>
          <w:lang w:val="en-US" w:eastAsia="zh-CN"/>
        </w:rPr>
        <w:t>包</w:t>
      </w:r>
      <w:r>
        <w:rPr>
          <w:rFonts w:hint="eastAsia" w:ascii="宋体" w:hAnsi="宋体" w:eastAsia="宋体" w:cs="宋体"/>
          <w:color w:val="auto"/>
          <w:sz w:val="21"/>
          <w:szCs w:val="21"/>
          <w:highlight w:val="none"/>
        </w:rPr>
        <w:t>的采购时间、冷链容积、厂家、品牌、规格型号、维修记录等信息建立冷链管理档案</w:t>
      </w:r>
      <w:r>
        <w:rPr>
          <w:rFonts w:hint="eastAsia" w:hAnsi="宋体" w:cs="宋体"/>
          <w:color w:val="auto"/>
          <w:sz w:val="21"/>
          <w:szCs w:val="21"/>
          <w:highlight w:val="none"/>
          <w:lang w:eastAsia="zh-CN"/>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监控管理平台支持手写电子签名功能，该功能可满足《</w:t>
      </w:r>
      <w:r>
        <w:rPr>
          <w:rFonts w:hint="eastAsia" w:hAnsi="宋体" w:cs="宋体"/>
          <w:color w:val="auto"/>
          <w:sz w:val="21"/>
          <w:szCs w:val="21"/>
          <w:highlight w:val="none"/>
          <w:lang w:val="en-US" w:eastAsia="zh-CN"/>
        </w:rPr>
        <w:t>药品</w:t>
      </w:r>
      <w:r>
        <w:rPr>
          <w:rFonts w:hint="eastAsia" w:ascii="宋体" w:hAnsi="宋体" w:eastAsia="宋体" w:cs="宋体"/>
          <w:color w:val="auto"/>
          <w:sz w:val="21"/>
          <w:szCs w:val="21"/>
          <w:highlight w:val="none"/>
          <w:lang w:val="en-US" w:eastAsia="zh-CN"/>
        </w:rPr>
        <w:t>储存和运输管理规范（2017年版）》中关于“冷链装备温度记录表”的人工测温合规要求。该软件报表可实现导出、打印和查询功能</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（需提供相关的软件功能证明材料）</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系统设置功能：报警延时、报警短信号码设置、设备离线延时及盘点苗、除霜时间、免打扰设置</w:t>
      </w:r>
      <w:r>
        <w:rPr>
          <w:rFonts w:hint="eastAsia" w:hAnsi="宋体" w:cs="宋体"/>
          <w:color w:val="auto"/>
          <w:sz w:val="21"/>
          <w:szCs w:val="21"/>
          <w:highlight w:val="none"/>
          <w:lang w:eastAsia="zh-CN"/>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b w:val="0"/>
          <w:bCs w:val="0"/>
          <w:color w:val="000000"/>
          <w:sz w:val="21"/>
          <w:szCs w:val="21"/>
        </w:rPr>
      </w:pPr>
      <w:r>
        <w:rPr>
          <w:rFonts w:hint="eastAsia" w:ascii="宋体" w:hAnsi="宋体" w:eastAsia="宋体" w:cs="宋体"/>
          <w:color w:val="auto"/>
          <w:sz w:val="21"/>
          <w:szCs w:val="21"/>
          <w:highlight w:val="none"/>
          <w:lang w:val="en-US" w:eastAsia="zh-CN"/>
        </w:rPr>
        <w:t>冷链监测系统必须是B/S</w:t>
      </w:r>
      <w:r>
        <w:rPr>
          <w:rFonts w:hint="eastAsia" w:hAnsi="宋体" w:cs="宋体"/>
          <w:color w:val="auto"/>
          <w:sz w:val="21"/>
          <w:szCs w:val="21"/>
          <w:highlight w:val="none"/>
          <w:lang w:val="en-US" w:eastAsia="zh-CN"/>
        </w:rPr>
        <w:t>平台</w:t>
      </w:r>
      <w:r>
        <w:rPr>
          <w:rFonts w:hint="eastAsia" w:ascii="宋体" w:hAnsi="宋体" w:eastAsia="宋体" w:cs="宋体"/>
          <w:color w:val="auto"/>
          <w:sz w:val="21"/>
          <w:szCs w:val="21"/>
          <w:highlight w:val="none"/>
          <w:lang w:val="en-US" w:eastAsia="zh-CN"/>
        </w:rPr>
        <w:t>架构，且</w:t>
      </w:r>
      <w:r>
        <w:rPr>
          <w:rFonts w:hint="eastAsia" w:ascii="宋体" w:hAnsi="宋体" w:eastAsia="宋体" w:cs="宋体"/>
          <w:color w:val="auto"/>
          <w:sz w:val="21"/>
          <w:szCs w:val="21"/>
          <w:highlight w:val="none"/>
        </w:rPr>
        <w:t>具备具有平台、iOS、Android APP</w:t>
      </w:r>
      <w:r>
        <w:rPr>
          <w:rFonts w:hint="eastAsia" w:hAnsi="宋体" w:cs="宋体"/>
          <w:color w:val="auto"/>
          <w:sz w:val="21"/>
          <w:szCs w:val="21"/>
          <w:highlight w:val="none"/>
          <w:lang w:val="en-US" w:eastAsia="zh-CN"/>
        </w:rPr>
        <w:t>的</w:t>
      </w:r>
      <w:r>
        <w:rPr>
          <w:rFonts w:hint="eastAsia" w:ascii="宋体" w:hAnsi="宋体" w:eastAsia="宋体" w:cs="宋体"/>
          <w:color w:val="auto"/>
          <w:sz w:val="21"/>
          <w:szCs w:val="21"/>
          <w:highlight w:val="none"/>
        </w:rPr>
        <w:t>《软件著作权登记证书》</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提供投标方具有的相关证书，</w:t>
      </w:r>
      <w:r>
        <w:rPr>
          <w:rFonts w:hint="eastAsia"/>
          <w:lang w:val="en-US" w:eastAsia="zh-CN"/>
        </w:rPr>
        <w:t>投标人需</w:t>
      </w:r>
      <w:r>
        <w:rPr>
          <w:rFonts w:hint="eastAsia"/>
          <w:lang w:eastAsia="zh-CN"/>
        </w:rPr>
        <w:t>承诺在中标后五个工作日内</w:t>
      </w:r>
      <w:r>
        <w:rPr>
          <w:rFonts w:hint="eastAsia"/>
          <w:lang w:val="en-US" w:eastAsia="zh-CN"/>
        </w:rPr>
        <w:t>提供原件核查</w:t>
      </w:r>
      <w:r>
        <w:rPr>
          <w:rFonts w:hint="eastAsia"/>
          <w:lang w:eastAsia="zh-CN"/>
        </w:rPr>
        <w:t>，如不能</w:t>
      </w:r>
      <w:r>
        <w:rPr>
          <w:rFonts w:hint="eastAsia"/>
          <w:lang w:val="en-US" w:eastAsia="zh-CN"/>
        </w:rPr>
        <w:t>提供</w:t>
      </w:r>
      <w:r>
        <w:rPr>
          <w:rFonts w:hint="eastAsia"/>
          <w:lang w:eastAsia="zh-CN"/>
        </w:rPr>
        <w:t>，采购人有权取消中标人的中标资格并追究其虚假应标责任</w:t>
      </w:r>
      <w:r>
        <w:rPr>
          <w:rFonts w:hint="eastAsia" w:hAnsi="宋体" w:cs="宋体"/>
          <w:color w:val="auto"/>
          <w:sz w:val="21"/>
          <w:szCs w:val="21"/>
          <w:highlight w:val="none"/>
          <w:lang w:eastAsia="zh-CN"/>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b w:val="0"/>
          <w:bCs w:val="0"/>
          <w:color w:val="000000"/>
          <w:sz w:val="21"/>
          <w:szCs w:val="21"/>
        </w:rPr>
      </w:pPr>
      <w:r>
        <w:rPr>
          <w:rFonts w:hint="eastAsia" w:ascii="宋体" w:hAnsi="宋体" w:cs="宋体"/>
          <w:color w:val="000000"/>
          <w:kern w:val="2"/>
          <w:szCs w:val="21"/>
        </w:rPr>
        <w:t>根据网络安全法及网络安全等级保护相关要求</w:t>
      </w:r>
      <w:r>
        <w:rPr>
          <w:rFonts w:hint="eastAsia" w:hAnsi="宋体" w:cs="宋体"/>
          <w:color w:val="000000"/>
          <w:kern w:val="2"/>
          <w:szCs w:val="21"/>
          <w:lang w:eastAsia="zh-CN"/>
        </w:rPr>
        <w:t>，</w:t>
      </w:r>
      <w:r>
        <w:rPr>
          <w:rFonts w:hint="eastAsia" w:hAnsi="宋体" w:cs="宋体"/>
          <w:color w:val="auto"/>
          <w:sz w:val="21"/>
          <w:szCs w:val="21"/>
          <w:highlight w:val="none"/>
          <w:lang w:val="en-US" w:eastAsia="zh-CN"/>
        </w:rPr>
        <w:t>冷链监测系统需通过</w:t>
      </w:r>
      <w:r>
        <w:rPr>
          <w:rFonts w:hint="eastAsia" w:ascii="宋体" w:hAnsi="宋体" w:cs="宋体"/>
          <w:color w:val="000000"/>
          <w:kern w:val="2"/>
          <w:szCs w:val="21"/>
        </w:rPr>
        <w:t>网络安全等级保护备案</w:t>
      </w:r>
      <w:r>
        <w:rPr>
          <w:rFonts w:hint="eastAsia" w:hAnsi="宋体" w:cs="宋体"/>
          <w:color w:val="000000"/>
          <w:kern w:val="2"/>
          <w:szCs w:val="21"/>
          <w:lang w:eastAsia="zh-CN"/>
        </w:rPr>
        <w:t>，</w:t>
      </w:r>
      <w:r>
        <w:rPr>
          <w:rFonts w:hint="eastAsia" w:hAnsi="宋体" w:cs="宋体"/>
          <w:color w:val="000000"/>
          <w:kern w:val="2"/>
          <w:szCs w:val="21"/>
          <w:lang w:val="en-US" w:eastAsia="zh-CN"/>
        </w:rPr>
        <w:t>具有</w:t>
      </w:r>
      <w:r>
        <w:rPr>
          <w:rFonts w:hint="eastAsia" w:hAnsi="宋体" w:cs="宋体"/>
          <w:color w:val="auto"/>
          <w:sz w:val="21"/>
          <w:szCs w:val="21"/>
          <w:highlight w:val="none"/>
          <w:lang w:val="en-US" w:eastAsia="zh-CN"/>
        </w:rPr>
        <w:t>信息系统安全等级三级等保备案证明；（提供投标方具有的相关证书，</w:t>
      </w:r>
      <w:r>
        <w:rPr>
          <w:rFonts w:hint="eastAsia"/>
          <w:lang w:val="en-US" w:eastAsia="zh-CN"/>
        </w:rPr>
        <w:t>投标人需</w:t>
      </w:r>
      <w:r>
        <w:rPr>
          <w:rFonts w:hint="eastAsia"/>
          <w:lang w:eastAsia="zh-CN"/>
        </w:rPr>
        <w:t>承诺在中标后五个工作日内</w:t>
      </w:r>
      <w:r>
        <w:rPr>
          <w:rFonts w:hint="eastAsia"/>
          <w:lang w:val="en-US" w:eastAsia="zh-CN"/>
        </w:rPr>
        <w:t>提供原件核查</w:t>
      </w:r>
      <w:r>
        <w:rPr>
          <w:rFonts w:hint="eastAsia"/>
          <w:lang w:eastAsia="zh-CN"/>
        </w:rPr>
        <w:t>，如不能</w:t>
      </w:r>
      <w:r>
        <w:rPr>
          <w:rFonts w:hint="eastAsia"/>
          <w:lang w:val="en-US" w:eastAsia="zh-CN"/>
        </w:rPr>
        <w:t>提供</w:t>
      </w:r>
      <w:r>
        <w:rPr>
          <w:rFonts w:hint="eastAsia"/>
          <w:lang w:eastAsia="zh-CN"/>
        </w:rPr>
        <w:t>，采购人有权取消中标人的中标资格并追究其虚假应标责任</w:t>
      </w:r>
      <w:r>
        <w:rPr>
          <w:rFonts w:hint="eastAsia" w:hAnsi="宋体" w:cs="宋体"/>
          <w:color w:val="auto"/>
          <w:sz w:val="21"/>
          <w:szCs w:val="21"/>
          <w:highlight w:val="none"/>
          <w:lang w:val="en-US" w:eastAsia="zh-CN"/>
        </w:rPr>
        <w:t>）</w:t>
      </w:r>
    </w:p>
    <w:p>
      <w:pPr>
        <w:pStyle w:val="4"/>
        <w:keepNext w:val="0"/>
        <w:keepLines w:val="0"/>
        <w:pageBreakBefore w:val="0"/>
        <w:numPr>
          <w:ilvl w:val="0"/>
          <w:numId w:val="4"/>
        </w:numPr>
        <w:kinsoku/>
        <w:wordWrap/>
        <w:overflowPunct/>
        <w:topLinePunct w:val="0"/>
        <w:bidi w:val="0"/>
        <w:adjustRightInd/>
        <w:snapToGrid/>
        <w:spacing w:before="0" w:after="0" w:line="360" w:lineRule="auto"/>
        <w:ind w:left="425" w:leftChars="0" w:right="0" w:rightChars="0" w:hanging="425" w:firstLineChars="0"/>
        <w:rPr>
          <w:rFonts w:hint="eastAsia" w:ascii="宋体" w:hAnsi="宋体" w:eastAsia="宋体" w:cs="宋体"/>
          <w:b w:val="0"/>
          <w:bCs w:val="0"/>
          <w:color w:val="000000"/>
          <w:sz w:val="21"/>
          <w:szCs w:val="21"/>
        </w:rPr>
      </w:pPr>
      <w:r>
        <w:rPr>
          <w:rFonts w:hint="default"/>
          <w:lang w:val="en-US" w:eastAsia="zh-CN"/>
        </w:rPr>
        <w:t>温度探头云计量能力，提供与省级计量测试研究院校准证书数据对接的证明材料</w:t>
      </w:r>
      <w:r>
        <w:rPr>
          <w:rFonts w:hint="eastAsia"/>
          <w:lang w:val="en-US" w:eastAsia="zh-CN"/>
        </w:rPr>
        <w:t>。</w:t>
      </w:r>
      <w:bookmarkStart w:id="0" w:name="_GoBack"/>
      <w:bookmarkEnd w:id="0"/>
    </w:p>
    <w:p>
      <w:pPr>
        <w:pStyle w:val="4"/>
        <w:keepNext w:val="0"/>
        <w:keepLines w:val="0"/>
        <w:pageBreakBefore w:val="0"/>
        <w:numPr>
          <w:ilvl w:val="0"/>
          <w:numId w:val="0"/>
        </w:numPr>
        <w:kinsoku/>
        <w:wordWrap/>
        <w:overflowPunct/>
        <w:topLinePunct w:val="0"/>
        <w:bidi w:val="0"/>
        <w:adjustRightInd/>
        <w:snapToGrid/>
        <w:spacing w:before="0" w:after="0" w:line="360" w:lineRule="auto"/>
        <w:ind w:leftChars="0" w:right="0" w:rightChars="0"/>
        <w:rPr>
          <w:rFonts w:hint="eastAsia" w:hAnsi="宋体" w:cs="宋体"/>
          <w:color w:val="auto"/>
          <w:sz w:val="21"/>
          <w:szCs w:val="21"/>
          <w:highlight w:val="none"/>
          <w:lang w:val="en-US" w:eastAsia="zh-CN"/>
        </w:rPr>
      </w:pPr>
    </w:p>
    <w:p>
      <w:pPr>
        <w:tabs>
          <w:tab w:val="left" w:pos="2394"/>
        </w:tabs>
        <w:spacing w:line="360" w:lineRule="auto"/>
        <w:rPr>
          <w:rFonts w:hint="default" w:ascii="宋体" w:hAnsi="宋体" w:eastAsia="宋体" w:cs="宋体"/>
          <w:b/>
          <w:color w:val="000000"/>
          <w:sz w:val="24"/>
          <w:szCs w:val="24"/>
          <w:lang w:val="en-US"/>
        </w:rPr>
      </w:pPr>
      <w:r>
        <w:rPr>
          <w:rFonts w:hint="eastAsia" w:ascii="宋体" w:hAnsi="宋体" w:cs="宋体"/>
          <w:b/>
          <w:color w:val="000000"/>
          <w:sz w:val="24"/>
          <w:szCs w:val="24"/>
          <w:lang w:eastAsia="zh-CN"/>
        </w:rPr>
        <w:t>（</w:t>
      </w:r>
      <w:r>
        <w:rPr>
          <w:rFonts w:hint="eastAsia" w:ascii="宋体" w:hAnsi="宋体" w:cs="宋体"/>
          <w:b/>
          <w:color w:val="000000"/>
          <w:sz w:val="24"/>
          <w:szCs w:val="24"/>
          <w:lang w:val="en-US" w:eastAsia="zh-CN"/>
        </w:rPr>
        <w:t>四</w:t>
      </w:r>
      <w:r>
        <w:rPr>
          <w:rFonts w:hint="eastAsia" w:ascii="宋体" w:hAnsi="宋体" w:cs="宋体"/>
          <w:b/>
          <w:color w:val="000000"/>
          <w:sz w:val="24"/>
          <w:szCs w:val="24"/>
          <w:lang w:eastAsia="zh-CN"/>
        </w:rPr>
        <w:t>）</w:t>
      </w:r>
      <w:r>
        <w:rPr>
          <w:rFonts w:hint="eastAsia" w:ascii="宋体" w:hAnsi="宋体" w:cs="宋体"/>
          <w:b/>
          <w:color w:val="000000"/>
          <w:sz w:val="24"/>
          <w:szCs w:val="24"/>
          <w:lang w:val="en-US" w:eastAsia="zh-CN"/>
        </w:rPr>
        <w:t>商务要求</w:t>
      </w:r>
    </w:p>
    <w:p>
      <w:pPr>
        <w:numPr>
          <w:ilvl w:val="0"/>
          <w:numId w:val="5"/>
        </w:numPr>
        <w:spacing w:line="360" w:lineRule="auto"/>
        <w:ind w:left="0" w:leftChars="0"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合同签订后</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天内完成供货且</w:t>
      </w:r>
      <w:r>
        <w:rPr>
          <w:rFonts w:hint="eastAsia" w:asciiTheme="minorEastAsia" w:hAnsiTheme="minorEastAsia" w:eastAsiaTheme="minorEastAsia" w:cstheme="minorEastAsia"/>
          <w:lang w:val="en-US" w:eastAsia="zh-CN"/>
        </w:rPr>
        <w:t>系统上线</w:t>
      </w:r>
      <w:r>
        <w:rPr>
          <w:rFonts w:hint="eastAsia" w:asciiTheme="minorEastAsia" w:hAnsiTheme="minorEastAsia" w:eastAsiaTheme="minorEastAsia" w:cstheme="minorEastAsia"/>
        </w:rPr>
        <w:t>调试完毕，并提交完整的技术资料向采购人申请验收</w:t>
      </w:r>
      <w:r>
        <w:rPr>
          <w:rFonts w:hint="eastAsia" w:asciiTheme="minorEastAsia" w:hAnsiTheme="minorEastAsia" w:eastAsiaTheme="minorEastAsia" w:cstheme="minorEastAsia"/>
          <w:lang w:eastAsia="zh-CN"/>
        </w:rPr>
        <w:t>；</w:t>
      </w:r>
    </w:p>
    <w:p>
      <w:pPr>
        <w:numPr>
          <w:ilvl w:val="0"/>
          <w:numId w:val="5"/>
        </w:numPr>
        <w:spacing w:line="360" w:lineRule="auto"/>
        <w:ind w:left="0" w:leftChars="0"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项目从验收日起，提供</w:t>
      </w:r>
      <w:r>
        <w:rPr>
          <w:rFonts w:hint="eastAsia" w:asciiTheme="minorEastAsia" w:hAnsiTheme="minorEastAsia" w:eastAsiaTheme="minorEastAsia" w:cstheme="minorEastAsia"/>
          <w:lang w:val="en-US" w:eastAsia="zh-CN"/>
        </w:rPr>
        <w:t>至少1年的</w:t>
      </w:r>
      <w:r>
        <w:rPr>
          <w:rFonts w:hint="eastAsia" w:asciiTheme="minorEastAsia" w:hAnsiTheme="minorEastAsia" w:eastAsiaTheme="minorEastAsia" w:cstheme="minorEastAsia"/>
        </w:rPr>
        <w:t>系统运维服务，质保期间冷链平台的GPRS流量、报警</w:t>
      </w:r>
      <w:r>
        <w:rPr>
          <w:rFonts w:hint="eastAsia" w:asciiTheme="minorEastAsia" w:hAnsiTheme="minorEastAsia" w:eastAsiaTheme="minorEastAsia" w:cstheme="minorEastAsia"/>
          <w:lang w:val="en-US" w:eastAsia="zh-CN"/>
        </w:rPr>
        <w:t>信息、服务器租赁</w:t>
      </w:r>
      <w:r>
        <w:rPr>
          <w:rFonts w:hint="eastAsia" w:asciiTheme="minorEastAsia" w:hAnsiTheme="minorEastAsia" w:eastAsiaTheme="minorEastAsia" w:cstheme="minorEastAsia"/>
        </w:rPr>
        <w:t>等费用均由中标人负责，不得向采购人额外收取；</w:t>
      </w:r>
    </w:p>
    <w:p>
      <w:pPr>
        <w:numPr>
          <w:ilvl w:val="0"/>
          <w:numId w:val="5"/>
        </w:numPr>
        <w:spacing w:line="360" w:lineRule="auto"/>
        <w:ind w:left="0" w:leftChars="0"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系统软件免费提供用户适应性修改和调试服务；</w:t>
      </w:r>
    </w:p>
    <w:p>
      <w:pPr>
        <w:numPr>
          <w:ilvl w:val="0"/>
          <w:numId w:val="5"/>
        </w:numPr>
        <w:spacing w:line="360" w:lineRule="auto"/>
        <w:ind w:left="0" w:leftChars="0" w:firstLine="420" w:firstLineChars="200"/>
        <w:rPr>
          <w:rFonts w:hint="eastAsia" w:hAnsi="宋体" w:cs="宋体"/>
          <w:b w:val="0"/>
          <w:bCs w:val="0"/>
          <w:color w:val="auto"/>
          <w:sz w:val="21"/>
          <w:szCs w:val="21"/>
          <w:highlight w:val="none"/>
          <w:lang w:val="en-US" w:eastAsia="zh-CN"/>
        </w:rPr>
      </w:pPr>
      <w:r>
        <w:rPr>
          <w:rFonts w:hint="eastAsia" w:asciiTheme="minorEastAsia" w:hAnsiTheme="minorEastAsia" w:eastAsiaTheme="minorEastAsia" w:cstheme="minorEastAsia"/>
        </w:rPr>
        <w:t>实施、培训要求：包括平台调研、开发、安装调试、培训使用（要求中标人免费提供一次使用和维护培训）等，以验收单为准</w:t>
      </w:r>
      <w:r>
        <w:rPr>
          <w:rFonts w:hint="eastAsia" w:asciiTheme="minorEastAsia" w:hAnsiTheme="minorEastAsia" w:eastAsiaTheme="minorEastAsia" w:cstheme="minorEastAsia"/>
          <w:lang w:eastAsia="zh-CN"/>
        </w:rPr>
        <w:t>。</w:t>
      </w:r>
    </w:p>
    <w:p>
      <w:pPr>
        <w:pStyle w:val="2"/>
        <w:rPr>
          <w:rFonts w:hint="eastAsia"/>
          <w:lang w:val="en-US" w:eastAsia="zh-CN"/>
        </w:rPr>
      </w:pPr>
    </w:p>
    <w:p>
      <w:pPr>
        <w:rPr>
          <w:rFonts w:hint="eastAsia" w:ascii="宋体" w:hAnsi="宋体" w:cs="宋体"/>
          <w:b/>
          <w:bCs/>
          <w:sz w:val="21"/>
          <w:szCs w:val="21"/>
          <w:lang w:val="en-US" w:eastAsia="zh-CN"/>
        </w:rPr>
      </w:pPr>
      <w:r>
        <w:rPr>
          <w:rFonts w:hint="eastAsia" w:ascii="宋体" w:hAnsi="宋体" w:cs="宋体"/>
          <w:b/>
          <w:bCs/>
          <w:sz w:val="21"/>
          <w:szCs w:val="21"/>
          <w:lang w:val="en-US" w:eastAsia="zh-CN"/>
        </w:rPr>
        <w:br w:type="page"/>
      </w:r>
    </w:p>
    <w:p>
      <w:pPr>
        <w:numPr>
          <w:ilvl w:val="0"/>
          <w:numId w:val="0"/>
        </w:numPr>
        <w:spacing w:line="360" w:lineRule="auto"/>
        <w:jc w:val="both"/>
        <w:rPr>
          <w:rFonts w:hint="eastAsia" w:ascii="宋体" w:hAnsi="宋体" w:cs="宋体"/>
          <w:b/>
          <w:bCs/>
          <w:sz w:val="21"/>
          <w:szCs w:val="21"/>
          <w:lang w:val="en-US" w:eastAsia="zh-CN"/>
        </w:rPr>
      </w:pPr>
      <w:r>
        <w:rPr>
          <w:rFonts w:hint="eastAsia" w:ascii="宋体" w:hAnsi="宋体" w:cs="宋体"/>
          <w:b/>
          <w:bCs/>
          <w:sz w:val="21"/>
          <w:szCs w:val="21"/>
          <w:lang w:val="en-US" w:eastAsia="zh-CN"/>
        </w:rPr>
        <w:t>附件1</w:t>
      </w:r>
    </w:p>
    <w:tbl>
      <w:tblPr>
        <w:tblStyle w:val="7"/>
        <w:tblW w:w="1025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61"/>
        <w:gridCol w:w="897"/>
        <w:gridCol w:w="1233"/>
        <w:gridCol w:w="1045"/>
        <w:gridCol w:w="1080"/>
        <w:gridCol w:w="1058"/>
        <w:gridCol w:w="1091"/>
        <w:gridCol w:w="982"/>
        <w:gridCol w:w="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10252"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Hans" w:bidi="ar"/>
              </w:rPr>
              <w:t>桐城市</w:t>
            </w:r>
            <w:r>
              <w:rPr>
                <w:rFonts w:hint="eastAsia" w:asciiTheme="minorEastAsia" w:hAnsiTheme="minorEastAsia" w:eastAsiaTheme="minorEastAsia" w:cstheme="minorEastAsia"/>
                <w:b/>
                <w:bCs/>
                <w:i w:val="0"/>
                <w:iCs w:val="0"/>
                <w:color w:val="000000"/>
                <w:kern w:val="0"/>
                <w:sz w:val="21"/>
                <w:szCs w:val="21"/>
                <w:u w:val="none"/>
                <w:lang w:val="en-US" w:eastAsia="zh-CN" w:bidi="ar"/>
              </w:rPr>
              <w:t>人民医院</w:t>
            </w:r>
            <w:r>
              <w:rPr>
                <w:rStyle w:val="18"/>
                <w:rFonts w:hint="eastAsia" w:asciiTheme="minorEastAsia" w:hAnsiTheme="minorEastAsia" w:eastAsiaTheme="minorEastAsia" w:cstheme="minorEastAsia"/>
                <w:sz w:val="21"/>
                <w:szCs w:val="21"/>
                <w:lang w:val="en-US" w:eastAsia="zh-CN" w:bidi="ar"/>
              </w:rPr>
              <w:t>冷链监测系统项目勘察表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0252"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10252"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项目名称</w:t>
            </w:r>
          </w:p>
        </w:tc>
        <w:tc>
          <w:tcPr>
            <w:tcW w:w="8291"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勘察单位</w:t>
            </w:r>
          </w:p>
        </w:tc>
        <w:tc>
          <w:tcPr>
            <w:tcW w:w="8291"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现场勘察日期</w:t>
            </w:r>
          </w:p>
        </w:tc>
        <w:tc>
          <w:tcPr>
            <w:tcW w:w="8291"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9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lang w:val="en-US" w:eastAsia="zh-CN"/>
              </w:rPr>
            </w:pPr>
            <w:r>
              <w:rPr>
                <w:rFonts w:hint="eastAsia" w:asciiTheme="minorEastAsia" w:hAnsiTheme="minorEastAsia" w:eastAsiaTheme="minorEastAsia" w:cstheme="minorEastAsia"/>
                <w:b/>
                <w:bCs/>
                <w:i w:val="0"/>
                <w:iCs w:val="0"/>
                <w:color w:val="000000"/>
                <w:sz w:val="21"/>
                <w:szCs w:val="21"/>
                <w:u w:val="none"/>
                <w:lang w:val="en-US" w:eastAsia="zh-CN"/>
              </w:rPr>
              <w:t>科室</w:t>
            </w:r>
          </w:p>
        </w:tc>
        <w:tc>
          <w:tcPr>
            <w:tcW w:w="738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详细内容</w:t>
            </w:r>
          </w:p>
        </w:tc>
        <w:tc>
          <w:tcPr>
            <w:tcW w:w="9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lang w:val="en-US" w:eastAsia="zh-CN"/>
              </w:rPr>
            </w:pPr>
            <w:r>
              <w:rPr>
                <w:rFonts w:hint="eastAsia" w:asciiTheme="minorEastAsia" w:hAnsiTheme="minorEastAsia" w:eastAsiaTheme="minorEastAsia" w:cstheme="minorEastAsia"/>
                <w:b/>
                <w:bCs/>
                <w:i w:val="0"/>
                <w:iCs w:val="0"/>
                <w:color w:val="000000"/>
                <w:sz w:val="21"/>
                <w:szCs w:val="21"/>
                <w:u w:val="none"/>
                <w:lang w:val="en-US" w:eastAsia="zh-CN"/>
              </w:rPr>
              <w:t>网络</w:t>
            </w:r>
          </w:p>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lang w:val="en-US" w:eastAsia="zh-CN"/>
              </w:rPr>
            </w:pPr>
            <w:r>
              <w:rPr>
                <w:rFonts w:hint="eastAsia" w:asciiTheme="minorEastAsia" w:hAnsiTheme="minorEastAsia" w:eastAsiaTheme="minorEastAsia" w:cstheme="minorEastAsia"/>
                <w:b/>
                <w:bCs/>
                <w:i w:val="0"/>
                <w:iCs w:val="0"/>
                <w:color w:val="000000"/>
                <w:sz w:val="21"/>
                <w:szCs w:val="21"/>
                <w:u w:val="none"/>
                <w:lang w:val="en-US" w:eastAsia="zh-CN"/>
              </w:rPr>
              <w:t>状况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c>
          <w:tcPr>
            <w:tcW w:w="89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冰箱</w:t>
            </w:r>
          </w:p>
        </w:tc>
        <w:tc>
          <w:tcPr>
            <w:tcW w:w="123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双门冰箱</w:t>
            </w:r>
          </w:p>
        </w:tc>
        <w:tc>
          <w:tcPr>
            <w:tcW w:w="104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冷库</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阴凉库</w:t>
            </w:r>
          </w:p>
        </w:tc>
        <w:tc>
          <w:tcPr>
            <w:tcW w:w="105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环境点</w:t>
            </w:r>
          </w:p>
        </w:tc>
        <w:tc>
          <w:tcPr>
            <w:tcW w:w="10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阴凉柜</w:t>
            </w:r>
          </w:p>
        </w:tc>
        <w:tc>
          <w:tcPr>
            <w:tcW w:w="9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b/>
                <w:bCs/>
                <w:i w:val="0"/>
                <w:iCs w:val="0"/>
                <w:color w:val="000000"/>
                <w:sz w:val="21"/>
                <w:szCs w:val="21"/>
                <w:u w:val="none"/>
              </w:rPr>
            </w:pPr>
            <w:r>
              <w:rPr>
                <w:rFonts w:hint="eastAsia" w:asciiTheme="minorEastAsia" w:hAnsiTheme="minorEastAsia" w:eastAsiaTheme="minorEastAsia" w:cstheme="minorEastAsia"/>
                <w:b/>
                <w:bCs/>
                <w:i w:val="0"/>
                <w:iCs w:val="0"/>
                <w:color w:val="000000"/>
                <w:kern w:val="0"/>
                <w:sz w:val="21"/>
                <w:szCs w:val="21"/>
                <w:u w:val="none"/>
                <w:lang w:val="en-US" w:eastAsia="zh-CN" w:bidi="ar"/>
              </w:rPr>
              <w:t>总计</w:t>
            </w:r>
          </w:p>
        </w:tc>
        <w:tc>
          <w:tcPr>
            <w:tcW w:w="9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lang w:val="en-US"/>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lang w:val="en-US"/>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bottom"/>
          </w:tcPr>
          <w:p>
            <w:pPr>
              <w:spacing w:line="360" w:lineRule="auto"/>
              <w:rPr>
                <w:rFonts w:hint="eastAsia" w:asciiTheme="minorEastAsia" w:hAnsiTheme="minorEastAsia" w:eastAsiaTheme="minorEastAsia" w:cstheme="minorEastAsia"/>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Theme="minorEastAsia" w:hAnsiTheme="minorEastAsia" w:eastAsiaTheme="minorEastAsia" w:cstheme="minorEastAsia"/>
                <w:i w:val="0"/>
                <w:iCs w:val="0"/>
                <w:color w:val="000000"/>
                <w:sz w:val="21"/>
                <w:szCs w:val="21"/>
                <w:u w:val="none"/>
              </w:rPr>
            </w:pP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Theme="minorEastAsia" w:hAnsiTheme="minorEastAsia" w:eastAsiaTheme="minorEastAsia" w:cstheme="minorEastAsia"/>
                <w:i w:val="0"/>
                <w:iCs w:val="0"/>
                <w:color w:val="000000"/>
                <w:sz w:val="21"/>
                <w:szCs w:val="21"/>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hint="eastAsia" w:asciiTheme="minorEastAsia" w:hAnsiTheme="minorEastAsia" w:eastAsiaTheme="minorEastAsia" w:cstheme="minorEastAsia"/>
                <w:i w:val="0"/>
                <w:iCs w:val="0"/>
                <w:color w:val="000000"/>
                <w:sz w:val="21"/>
                <w:szCs w:val="21"/>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top"/>
          </w:tcPr>
          <w:p>
            <w:pPr>
              <w:spacing w:line="360" w:lineRule="auto"/>
              <w:jc w:val="left"/>
              <w:rPr>
                <w:rFonts w:hint="eastAsia" w:asciiTheme="minorEastAsia" w:hAnsiTheme="minorEastAsia" w:eastAsiaTheme="minorEastAsia" w:cstheme="minorEastAsia"/>
                <w:i w:val="0"/>
                <w:iCs w:val="0"/>
                <w:color w:val="000000"/>
                <w:sz w:val="21"/>
                <w:szCs w:val="21"/>
                <w:u w:val="none"/>
              </w:rPr>
            </w:pPr>
          </w:p>
        </w:tc>
      </w:tr>
    </w:tbl>
    <w:p>
      <w:pPr>
        <w:pStyle w:val="2"/>
        <w:rPr>
          <w:rFonts w:hint="eastAsia"/>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8A8A67"/>
    <w:multiLevelType w:val="singleLevel"/>
    <w:tmpl w:val="A98A8A67"/>
    <w:lvl w:ilvl="0" w:tentative="0">
      <w:start w:val="1"/>
      <w:numFmt w:val="decimal"/>
      <w:suff w:val="nothing"/>
      <w:lvlText w:val="%1．"/>
      <w:lvlJc w:val="left"/>
      <w:pPr>
        <w:ind w:left="0" w:firstLine="400"/>
      </w:pPr>
      <w:rPr>
        <w:rFonts w:hint="default"/>
      </w:rPr>
    </w:lvl>
  </w:abstractNum>
  <w:abstractNum w:abstractNumId="1">
    <w:nsid w:val="00000002"/>
    <w:multiLevelType w:val="singleLevel"/>
    <w:tmpl w:val="00000002"/>
    <w:lvl w:ilvl="0" w:tentative="0">
      <w:start w:val="1"/>
      <w:numFmt w:val="decimalEnclosedCircleChinese"/>
      <w:suff w:val="nothing"/>
      <w:lvlText w:val="%1　"/>
      <w:lvlJc w:val="left"/>
      <w:pPr>
        <w:ind w:left="0" w:firstLine="400"/>
      </w:pPr>
      <w:rPr>
        <w:rFonts w:hint="eastAsia"/>
      </w:rPr>
    </w:lvl>
  </w:abstractNum>
  <w:abstractNum w:abstractNumId="2">
    <w:nsid w:val="00000004"/>
    <w:multiLevelType w:val="singleLevel"/>
    <w:tmpl w:val="00000004"/>
    <w:lvl w:ilvl="0" w:tentative="0">
      <w:start w:val="1"/>
      <w:numFmt w:val="decimalEnclosedCircleChinese"/>
      <w:suff w:val="nothing"/>
      <w:lvlText w:val="%1　"/>
      <w:lvlJc w:val="left"/>
      <w:pPr>
        <w:ind w:left="0" w:firstLine="400"/>
      </w:pPr>
      <w:rPr>
        <w:rFonts w:hint="eastAsia"/>
      </w:rPr>
    </w:lvl>
  </w:abstractNum>
  <w:abstractNum w:abstractNumId="3">
    <w:nsid w:val="00000006"/>
    <w:multiLevelType w:val="singleLevel"/>
    <w:tmpl w:val="00000006"/>
    <w:lvl w:ilvl="0" w:tentative="0">
      <w:start w:val="1"/>
      <w:numFmt w:val="decimal"/>
      <w:lvlText w:val="(%1)"/>
      <w:lvlJc w:val="left"/>
      <w:pPr>
        <w:ind w:left="425" w:hanging="425"/>
      </w:pPr>
      <w:rPr>
        <w:rFonts w:hint="default"/>
      </w:rPr>
    </w:lvl>
  </w:abstractNum>
  <w:abstractNum w:abstractNumId="4">
    <w:nsid w:val="00000007"/>
    <w:multiLevelType w:val="singleLevel"/>
    <w:tmpl w:val="00000007"/>
    <w:lvl w:ilvl="0" w:tentative="0">
      <w:start w:val="1"/>
      <w:numFmt w:val="decimal"/>
      <w:lvlText w:val="(%1)"/>
      <w:lvlJc w:val="left"/>
      <w:pPr>
        <w:ind w:left="425" w:hanging="425"/>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0YTgwNGM5NzkyZmMxZDE4MWVkMGEyZmUwZjA0ZWUifQ=="/>
  </w:docVars>
  <w:rsids>
    <w:rsidRoot w:val="00000000"/>
    <w:rsid w:val="048A753A"/>
    <w:rsid w:val="06490AF8"/>
    <w:rsid w:val="07B7682E"/>
    <w:rsid w:val="0E926C0C"/>
    <w:rsid w:val="0F2675A0"/>
    <w:rsid w:val="13BA7847"/>
    <w:rsid w:val="15C36643"/>
    <w:rsid w:val="212A55E4"/>
    <w:rsid w:val="216F3948"/>
    <w:rsid w:val="220836D1"/>
    <w:rsid w:val="26BA0C8C"/>
    <w:rsid w:val="28333881"/>
    <w:rsid w:val="2E5A2D55"/>
    <w:rsid w:val="30D86665"/>
    <w:rsid w:val="31120189"/>
    <w:rsid w:val="3A3415DA"/>
    <w:rsid w:val="3C9164DD"/>
    <w:rsid w:val="3E251390"/>
    <w:rsid w:val="3F793FD3"/>
    <w:rsid w:val="3FD23B79"/>
    <w:rsid w:val="43E3396D"/>
    <w:rsid w:val="4AF34C5A"/>
    <w:rsid w:val="4B257C1E"/>
    <w:rsid w:val="4DA85CA0"/>
    <w:rsid w:val="512A7CFF"/>
    <w:rsid w:val="51B84FDB"/>
    <w:rsid w:val="5B9F183C"/>
    <w:rsid w:val="5D0143B1"/>
    <w:rsid w:val="62466823"/>
    <w:rsid w:val="65420A4C"/>
    <w:rsid w:val="67DF8DEA"/>
    <w:rsid w:val="6A0E2387"/>
    <w:rsid w:val="6DF62681"/>
    <w:rsid w:val="6E7D5FB3"/>
    <w:rsid w:val="797E40EA"/>
    <w:rsid w:val="7A6066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customStyle="1" w:styleId="2">
    <w:name w:val="Normal Indent"/>
    <w:basedOn w:val="1"/>
    <w:qFormat/>
    <w:uiPriority w:val="0"/>
    <w:pPr>
      <w:widowControl/>
      <w:ind w:firstLine="420"/>
      <w:jc w:val="left"/>
    </w:pPr>
    <w:rPr>
      <w:rFonts w:ascii="Times New Roman" w:hAnsi="Times New Roman"/>
      <w:kern w:val="0"/>
      <w:szCs w:val="20"/>
    </w:rPr>
  </w:style>
  <w:style w:type="paragraph" w:styleId="3">
    <w:name w:val="Body Text"/>
    <w:basedOn w:val="1"/>
    <w:qFormat/>
    <w:uiPriority w:val="0"/>
    <w:pPr>
      <w:spacing w:after="120"/>
    </w:pPr>
  </w:style>
  <w:style w:type="paragraph" w:styleId="4">
    <w:name w:val="Plain Text"/>
    <w:basedOn w:val="1"/>
    <w:qFormat/>
    <w:uiPriority w:val="0"/>
    <w:pPr>
      <w:spacing w:before="0" w:after="0"/>
      <w:ind w:firstLine="0" w:firstLineChars="0"/>
    </w:pPr>
    <w:rPr>
      <w:rFonts w:ascii="宋体" w:hAnsi="Courier New" w:eastAsia="宋体"/>
      <w:szCs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ormal Indent_03888ede-4e46-4032-aa65-ece7800c373f"/>
    <w:basedOn w:val="1"/>
    <w:qFormat/>
    <w:uiPriority w:val="0"/>
    <w:pPr>
      <w:widowControl/>
      <w:ind w:firstLine="420"/>
      <w:jc w:val="left"/>
    </w:pPr>
    <w:rPr>
      <w:rFonts w:ascii="Times New Roman" w:hAnsi="Times New Roman"/>
      <w:kern w:val="0"/>
      <w:szCs w:val="20"/>
    </w:rPr>
  </w:style>
  <w:style w:type="paragraph" w:customStyle="1" w:styleId="11">
    <w:name w:val="List Paragraph2"/>
    <w:basedOn w:val="1"/>
    <w:qFormat/>
    <w:uiPriority w:val="99"/>
    <w:pPr>
      <w:ind w:firstLine="420" w:firstLineChars="200"/>
    </w:pPr>
    <w:rPr>
      <w:rFonts w:ascii="Times New Roman" w:hAnsi="Times New Roman"/>
      <w:szCs w:val="21"/>
    </w:rPr>
  </w:style>
  <w:style w:type="character" w:customStyle="1" w:styleId="12">
    <w:name w:val="p141"/>
    <w:qFormat/>
    <w:uiPriority w:val="0"/>
    <w:rPr>
      <w:sz w:val="21"/>
      <w:szCs w:val="21"/>
    </w:rPr>
  </w:style>
  <w:style w:type="paragraph" w:customStyle="1" w:styleId="13">
    <w:name w:val="No Spacing_8a4f6de3-6582-4361-ba4f-edb706acf4c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
    <w:name w:val="正文缩进1"/>
    <w:basedOn w:val="1"/>
    <w:qFormat/>
    <w:uiPriority w:val="0"/>
    <w:pPr>
      <w:widowControl/>
      <w:ind w:firstLine="420"/>
      <w:jc w:val="left"/>
    </w:pPr>
    <w:rPr>
      <w:rFonts w:ascii="Times New Roman" w:hAnsi="Times New Roman"/>
      <w:kern w:val="0"/>
      <w:szCs w:val="20"/>
    </w:rPr>
  </w:style>
  <w:style w:type="paragraph" w:customStyle="1" w:styleId="15">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
    <w:name w:val="正文缩进2"/>
    <w:basedOn w:val="1"/>
    <w:qFormat/>
    <w:uiPriority w:val="0"/>
    <w:pPr>
      <w:widowControl/>
      <w:ind w:firstLine="420"/>
      <w:jc w:val="left"/>
    </w:pPr>
    <w:rPr>
      <w:rFonts w:ascii="Times New Roman" w:hAnsi="Times New Roman"/>
      <w:kern w:val="0"/>
      <w:szCs w:val="20"/>
    </w:rPr>
  </w:style>
  <w:style w:type="character" w:customStyle="1" w:styleId="17">
    <w:name w:val="font21"/>
    <w:basedOn w:val="9"/>
    <w:qFormat/>
    <w:uiPriority w:val="0"/>
    <w:rPr>
      <w:rFonts w:ascii="宋体" w:hAnsi="宋体" w:eastAsia="宋体" w:cs="宋体"/>
      <w:color w:val="000000"/>
      <w:sz w:val="14"/>
      <w:szCs w:val="14"/>
      <w:u w:val="none"/>
    </w:rPr>
  </w:style>
  <w:style w:type="character" w:customStyle="1" w:styleId="18">
    <w:name w:val="font11"/>
    <w:basedOn w:val="9"/>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3574</Words>
  <Characters>3676</Characters>
  <Paragraphs>332</Paragraphs>
  <TotalTime>0</TotalTime>
  <ScaleCrop>false</ScaleCrop>
  <LinksUpToDate>false</LinksUpToDate>
  <CharactersWithSpaces>3684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2017-11-12T11:14:00Z</dcterms:created>
  <dc:creator>meitiandi</dc:creator>
  <cp:lastModifiedBy>梅天地</cp:lastModifiedBy>
  <dcterms:modified xsi:type="dcterms:W3CDTF">2024-08-07T14:31:34Z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580593B4B45748888379401C4C2B5C88_13</vt:lpwstr>
  </property>
</Properties>
</file>