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707C14" w:rsidRDefault="007312B1" w:rsidP="004A53F6">
      <w:pPr>
        <w:jc w:val="center"/>
        <w:rPr>
          <w:rFonts w:asciiTheme="majorEastAsia" w:eastAsiaTheme="majorEastAsia" w:hAnsiTheme="majorEastAsia"/>
          <w:b/>
          <w:sz w:val="36"/>
          <w:szCs w:val="36"/>
        </w:rPr>
      </w:pPr>
      <w:r w:rsidRPr="007312B1">
        <w:rPr>
          <w:rFonts w:asciiTheme="majorEastAsia" w:eastAsiaTheme="majorEastAsia" w:hAnsiTheme="majorEastAsia" w:hint="eastAsia"/>
          <w:b/>
          <w:sz w:val="36"/>
          <w:szCs w:val="36"/>
          <w:u w:val="single"/>
        </w:rPr>
        <w:t>十二导心电图机</w:t>
      </w:r>
      <w:r w:rsidR="008A5B0C" w:rsidRPr="00707C14">
        <w:rPr>
          <w:rFonts w:asciiTheme="majorEastAsia" w:eastAsiaTheme="majorEastAsia" w:hAnsiTheme="majorEastAsia" w:hint="eastAsia"/>
          <w:b/>
          <w:spacing w:val="-20"/>
          <w:sz w:val="36"/>
          <w:szCs w:val="36"/>
        </w:rPr>
        <w:t>公开</w:t>
      </w:r>
      <w:r w:rsidR="008A5B0C" w:rsidRPr="00707C14">
        <w:rPr>
          <w:rFonts w:asciiTheme="majorEastAsia" w:eastAsiaTheme="majorEastAsia" w:hAnsiTheme="majorEastAsia"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rPr>
        <w:t>（盖章）</w:t>
      </w:r>
      <w:r w:rsidR="00E338BA">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652"/>
        <w:gridCol w:w="2237"/>
        <w:gridCol w:w="1840"/>
        <w:gridCol w:w="2761"/>
        <w:gridCol w:w="2458"/>
        <w:gridCol w:w="2016"/>
      </w:tblGrid>
      <w:tr w:rsidR="007312B1" w:rsidRPr="002D75D0" w:rsidTr="007312B1">
        <w:trPr>
          <w:trHeight w:val="489"/>
          <w:jc w:val="center"/>
        </w:trPr>
        <w:tc>
          <w:tcPr>
            <w:tcW w:w="1010" w:type="pct"/>
            <w:gridSpan w:val="2"/>
            <w:tcBorders>
              <w:top w:val="single" w:sz="4" w:space="0" w:color="auto"/>
              <w:left w:val="single" w:sz="4" w:space="0" w:color="auto"/>
              <w:bottom w:val="single" w:sz="4" w:space="0" w:color="auto"/>
              <w:right w:val="single" w:sz="4" w:space="0" w:color="auto"/>
            </w:tcBorders>
            <w:vAlign w:val="center"/>
          </w:tcPr>
          <w:p w:rsidR="007312B1" w:rsidRPr="007347A1" w:rsidRDefault="007312B1" w:rsidP="00912AE4">
            <w:pPr>
              <w:tabs>
                <w:tab w:val="left" w:pos="465"/>
              </w:tabs>
              <w:spacing w:line="300" w:lineRule="exact"/>
              <w:jc w:val="center"/>
              <w:rPr>
                <w:b/>
                <w:spacing w:val="-20"/>
                <w:sz w:val="32"/>
                <w:szCs w:val="32"/>
              </w:rPr>
            </w:pPr>
            <w:r>
              <w:rPr>
                <w:rFonts w:hint="eastAsia"/>
                <w:b/>
                <w:spacing w:val="-20"/>
                <w:sz w:val="32"/>
                <w:szCs w:val="32"/>
              </w:rPr>
              <w:t>名  称</w:t>
            </w:r>
          </w:p>
        </w:tc>
        <w:tc>
          <w:tcPr>
            <w:tcW w:w="789" w:type="pct"/>
            <w:tcBorders>
              <w:top w:val="single" w:sz="4" w:space="0" w:color="auto"/>
              <w:left w:val="single" w:sz="4" w:space="0" w:color="auto"/>
              <w:bottom w:val="single" w:sz="4" w:space="0" w:color="auto"/>
              <w:right w:val="single" w:sz="4" w:space="0" w:color="auto"/>
            </w:tcBorders>
            <w:vAlign w:val="center"/>
          </w:tcPr>
          <w:p w:rsidR="007312B1" w:rsidRPr="007347A1" w:rsidRDefault="007312B1" w:rsidP="007347A1">
            <w:pPr>
              <w:tabs>
                <w:tab w:val="left" w:pos="465"/>
              </w:tabs>
              <w:spacing w:line="300" w:lineRule="exact"/>
              <w:jc w:val="center"/>
              <w:rPr>
                <w:b/>
                <w:spacing w:val="-20"/>
                <w:sz w:val="32"/>
                <w:szCs w:val="32"/>
              </w:rPr>
            </w:pPr>
            <w:r>
              <w:rPr>
                <w:rFonts w:hint="eastAsia"/>
                <w:b/>
                <w:spacing w:val="-20"/>
                <w:sz w:val="32"/>
                <w:szCs w:val="32"/>
              </w:rPr>
              <w:t>产地</w:t>
            </w:r>
          </w:p>
        </w:tc>
        <w:tc>
          <w:tcPr>
            <w:tcW w:w="649" w:type="pct"/>
            <w:tcBorders>
              <w:top w:val="single" w:sz="4" w:space="0" w:color="auto"/>
              <w:left w:val="single" w:sz="4" w:space="0" w:color="auto"/>
              <w:bottom w:val="single" w:sz="4" w:space="0" w:color="auto"/>
              <w:right w:val="single" w:sz="4" w:space="0" w:color="auto"/>
            </w:tcBorders>
            <w:vAlign w:val="center"/>
          </w:tcPr>
          <w:p w:rsidR="007312B1" w:rsidRPr="007347A1" w:rsidRDefault="007312B1"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974" w:type="pct"/>
            <w:tcBorders>
              <w:top w:val="single" w:sz="4" w:space="0" w:color="auto"/>
              <w:left w:val="single" w:sz="4" w:space="0" w:color="auto"/>
              <w:bottom w:val="single" w:sz="4" w:space="0" w:color="auto"/>
              <w:right w:val="single" w:sz="4" w:space="0" w:color="auto"/>
            </w:tcBorders>
            <w:vAlign w:val="center"/>
          </w:tcPr>
          <w:p w:rsidR="007312B1" w:rsidRPr="007347A1" w:rsidRDefault="007312B1" w:rsidP="007441F8">
            <w:pPr>
              <w:jc w:val="center"/>
              <w:rPr>
                <w:b/>
                <w:sz w:val="32"/>
                <w:szCs w:val="32"/>
              </w:rPr>
            </w:pPr>
            <w:r w:rsidRPr="007347A1">
              <w:rPr>
                <w:rFonts w:hint="eastAsia"/>
                <w:b/>
                <w:sz w:val="32"/>
                <w:szCs w:val="32"/>
              </w:rPr>
              <w:t>采购数量</w:t>
            </w:r>
            <w:r>
              <w:rPr>
                <w:rFonts w:hint="eastAsia"/>
                <w:b/>
                <w:sz w:val="32"/>
                <w:szCs w:val="32"/>
              </w:rPr>
              <w:t>（台）</w:t>
            </w:r>
          </w:p>
        </w:tc>
        <w:tc>
          <w:tcPr>
            <w:tcW w:w="867" w:type="pct"/>
            <w:tcBorders>
              <w:top w:val="single" w:sz="4" w:space="0" w:color="auto"/>
              <w:left w:val="single" w:sz="4" w:space="0" w:color="auto"/>
              <w:bottom w:val="single" w:sz="4" w:space="0" w:color="auto"/>
              <w:right w:val="single" w:sz="4" w:space="0" w:color="auto"/>
            </w:tcBorders>
          </w:tcPr>
          <w:p w:rsidR="007312B1" w:rsidRDefault="007312B1" w:rsidP="0003143E">
            <w:pPr>
              <w:jc w:val="center"/>
              <w:rPr>
                <w:b/>
                <w:sz w:val="32"/>
                <w:szCs w:val="32"/>
              </w:rPr>
            </w:pPr>
            <w:r>
              <w:rPr>
                <w:rFonts w:hint="eastAsia"/>
                <w:b/>
                <w:sz w:val="32"/>
                <w:szCs w:val="32"/>
              </w:rPr>
              <w:t>单</w:t>
            </w:r>
            <w:r w:rsidRPr="007347A1">
              <w:rPr>
                <w:rFonts w:hint="eastAsia"/>
                <w:b/>
                <w:sz w:val="32"/>
                <w:szCs w:val="32"/>
              </w:rPr>
              <w:t>价（元/</w:t>
            </w:r>
            <w:r>
              <w:rPr>
                <w:rFonts w:hint="eastAsia"/>
                <w:b/>
                <w:sz w:val="32"/>
                <w:szCs w:val="32"/>
              </w:rPr>
              <w:t>台</w:t>
            </w:r>
            <w:r w:rsidRPr="007347A1">
              <w:rPr>
                <w:rFonts w:hint="eastAsia"/>
                <w:b/>
                <w:sz w:val="32"/>
                <w:szCs w:val="32"/>
              </w:rPr>
              <w:t>）</w:t>
            </w:r>
          </w:p>
        </w:tc>
        <w:tc>
          <w:tcPr>
            <w:tcW w:w="712" w:type="pct"/>
            <w:tcBorders>
              <w:top w:val="single" w:sz="4" w:space="0" w:color="auto"/>
              <w:left w:val="single" w:sz="4" w:space="0" w:color="auto"/>
              <w:bottom w:val="single" w:sz="4" w:space="0" w:color="auto"/>
              <w:right w:val="single" w:sz="4" w:space="0" w:color="auto"/>
            </w:tcBorders>
            <w:vAlign w:val="center"/>
          </w:tcPr>
          <w:p w:rsidR="007312B1" w:rsidRPr="007347A1" w:rsidRDefault="007312B1" w:rsidP="0003143E">
            <w:pPr>
              <w:jc w:val="center"/>
              <w:rPr>
                <w:b/>
                <w:sz w:val="32"/>
                <w:szCs w:val="32"/>
              </w:rPr>
            </w:pPr>
            <w:r>
              <w:rPr>
                <w:b/>
                <w:sz w:val="32"/>
                <w:szCs w:val="32"/>
              </w:rPr>
              <w:t>报价（元）</w:t>
            </w:r>
          </w:p>
        </w:tc>
      </w:tr>
      <w:tr w:rsidR="007312B1" w:rsidRPr="002D75D0" w:rsidTr="007312B1">
        <w:trPr>
          <w:trHeight w:val="2409"/>
          <w:jc w:val="center"/>
        </w:trPr>
        <w:tc>
          <w:tcPr>
            <w:tcW w:w="1010" w:type="pct"/>
            <w:gridSpan w:val="2"/>
            <w:tcBorders>
              <w:top w:val="single" w:sz="4" w:space="0" w:color="auto"/>
              <w:left w:val="single" w:sz="4" w:space="0" w:color="auto"/>
              <w:right w:val="single" w:sz="4" w:space="0" w:color="auto"/>
            </w:tcBorders>
            <w:vAlign w:val="center"/>
          </w:tcPr>
          <w:p w:rsidR="007312B1" w:rsidRPr="000E264C" w:rsidRDefault="007312B1" w:rsidP="00AA3F99">
            <w:pPr>
              <w:jc w:val="center"/>
              <w:rPr>
                <w:sz w:val="28"/>
                <w:szCs w:val="28"/>
              </w:rPr>
            </w:pPr>
            <w:r w:rsidRPr="000E264C">
              <w:rPr>
                <w:rFonts w:hint="eastAsia"/>
                <w:sz w:val="28"/>
                <w:szCs w:val="28"/>
              </w:rPr>
              <w:t>十二导心电图机</w:t>
            </w:r>
          </w:p>
        </w:tc>
        <w:tc>
          <w:tcPr>
            <w:tcW w:w="789" w:type="pct"/>
            <w:tcBorders>
              <w:top w:val="single" w:sz="4" w:space="0" w:color="auto"/>
              <w:left w:val="single" w:sz="4" w:space="0" w:color="auto"/>
              <w:right w:val="single" w:sz="4" w:space="0" w:color="auto"/>
            </w:tcBorders>
            <w:vAlign w:val="center"/>
          </w:tcPr>
          <w:p w:rsidR="007312B1" w:rsidRPr="000E264C" w:rsidRDefault="007312B1" w:rsidP="00AA3F99">
            <w:pPr>
              <w:jc w:val="center"/>
              <w:rPr>
                <w:sz w:val="28"/>
                <w:szCs w:val="28"/>
              </w:rPr>
            </w:pPr>
            <w:r w:rsidRPr="000E264C">
              <w:rPr>
                <w:rFonts w:hint="eastAsia"/>
                <w:sz w:val="28"/>
                <w:szCs w:val="28"/>
              </w:rPr>
              <w:t>国  产</w:t>
            </w:r>
          </w:p>
        </w:tc>
        <w:tc>
          <w:tcPr>
            <w:tcW w:w="649" w:type="pct"/>
            <w:tcBorders>
              <w:top w:val="single" w:sz="4" w:space="0" w:color="auto"/>
              <w:left w:val="single" w:sz="4" w:space="0" w:color="auto"/>
              <w:right w:val="single" w:sz="4" w:space="0" w:color="auto"/>
            </w:tcBorders>
            <w:vAlign w:val="center"/>
          </w:tcPr>
          <w:p w:rsidR="007312B1" w:rsidRPr="000E264C" w:rsidRDefault="007312B1" w:rsidP="004567F2">
            <w:pPr>
              <w:jc w:val="center"/>
              <w:rPr>
                <w:rFonts w:asciiTheme="minorEastAsia" w:eastAsiaTheme="minorEastAsia" w:hAnsiTheme="minorEastAsia"/>
                <w:sz w:val="28"/>
                <w:szCs w:val="28"/>
              </w:rPr>
            </w:pPr>
          </w:p>
        </w:tc>
        <w:tc>
          <w:tcPr>
            <w:tcW w:w="974" w:type="pct"/>
            <w:tcBorders>
              <w:top w:val="single" w:sz="4" w:space="0" w:color="auto"/>
              <w:left w:val="single" w:sz="4" w:space="0" w:color="auto"/>
              <w:right w:val="single" w:sz="4" w:space="0" w:color="auto"/>
            </w:tcBorders>
            <w:vAlign w:val="center"/>
          </w:tcPr>
          <w:p w:rsidR="007312B1" w:rsidRPr="000E264C" w:rsidRDefault="007312B1" w:rsidP="0003143E">
            <w:pPr>
              <w:jc w:val="center"/>
              <w:rPr>
                <w:sz w:val="28"/>
                <w:szCs w:val="28"/>
              </w:rPr>
            </w:pPr>
            <w:r w:rsidRPr="000E264C">
              <w:rPr>
                <w:rFonts w:hint="eastAsia"/>
                <w:sz w:val="28"/>
                <w:szCs w:val="28"/>
              </w:rPr>
              <w:t>叁</w:t>
            </w:r>
          </w:p>
        </w:tc>
        <w:tc>
          <w:tcPr>
            <w:tcW w:w="867" w:type="pct"/>
            <w:tcBorders>
              <w:top w:val="single" w:sz="4" w:space="0" w:color="auto"/>
              <w:left w:val="single" w:sz="4" w:space="0" w:color="auto"/>
              <w:right w:val="single" w:sz="4" w:space="0" w:color="auto"/>
            </w:tcBorders>
          </w:tcPr>
          <w:p w:rsidR="007312B1" w:rsidRDefault="007312B1" w:rsidP="00AC4519">
            <w:pPr>
              <w:jc w:val="center"/>
              <w:rPr>
                <w:sz w:val="32"/>
                <w:szCs w:val="32"/>
              </w:rPr>
            </w:pPr>
          </w:p>
        </w:tc>
        <w:tc>
          <w:tcPr>
            <w:tcW w:w="712" w:type="pct"/>
            <w:tcBorders>
              <w:top w:val="single" w:sz="4" w:space="0" w:color="auto"/>
              <w:left w:val="single" w:sz="4" w:space="0" w:color="auto"/>
              <w:right w:val="single" w:sz="4" w:space="0" w:color="auto"/>
            </w:tcBorders>
            <w:vAlign w:val="center"/>
          </w:tcPr>
          <w:p w:rsidR="007312B1" w:rsidRDefault="007312B1" w:rsidP="00AC4519">
            <w:pPr>
              <w:jc w:val="center"/>
              <w:rPr>
                <w:sz w:val="32"/>
                <w:szCs w:val="32"/>
              </w:rPr>
            </w:pPr>
          </w:p>
        </w:tc>
      </w:tr>
      <w:tr w:rsidR="007312B1" w:rsidRPr="002D75D0" w:rsidTr="007312B1">
        <w:trPr>
          <w:trHeight w:val="2401"/>
          <w:jc w:val="center"/>
        </w:trPr>
        <w:tc>
          <w:tcPr>
            <w:tcW w:w="780" w:type="pct"/>
            <w:tcBorders>
              <w:top w:val="single" w:sz="4" w:space="0" w:color="auto"/>
              <w:left w:val="single" w:sz="4" w:space="0" w:color="auto"/>
              <w:bottom w:val="single" w:sz="4" w:space="0" w:color="auto"/>
              <w:right w:val="single" w:sz="4" w:space="0" w:color="auto"/>
            </w:tcBorders>
            <w:vAlign w:val="center"/>
          </w:tcPr>
          <w:p w:rsidR="007312B1" w:rsidRDefault="007312B1" w:rsidP="00E922BB">
            <w:pPr>
              <w:spacing w:line="560" w:lineRule="exact"/>
              <w:jc w:val="center"/>
              <w:rPr>
                <w:b/>
                <w:sz w:val="28"/>
                <w:szCs w:val="28"/>
              </w:rPr>
            </w:pPr>
            <w:r>
              <w:rPr>
                <w:rFonts w:hint="eastAsia"/>
                <w:b/>
                <w:sz w:val="28"/>
                <w:szCs w:val="28"/>
              </w:rPr>
              <w:t>备  注</w:t>
            </w:r>
          </w:p>
        </w:tc>
        <w:tc>
          <w:tcPr>
            <w:tcW w:w="4220" w:type="pct"/>
            <w:gridSpan w:val="6"/>
            <w:tcBorders>
              <w:top w:val="single" w:sz="4" w:space="0" w:color="auto"/>
              <w:left w:val="single" w:sz="4" w:space="0" w:color="auto"/>
              <w:bottom w:val="single" w:sz="4" w:space="0" w:color="auto"/>
              <w:right w:val="single" w:sz="4" w:space="0" w:color="auto"/>
            </w:tcBorders>
          </w:tcPr>
          <w:p w:rsidR="007312B1" w:rsidRPr="00DB1BE1" w:rsidRDefault="007312B1" w:rsidP="00DB1BE1">
            <w:pPr>
              <w:spacing w:line="400" w:lineRule="exact"/>
              <w:rPr>
                <w:b/>
                <w:sz w:val="28"/>
                <w:szCs w:val="28"/>
              </w:rPr>
            </w:pPr>
            <w:r w:rsidRPr="00DB1BE1">
              <w:rPr>
                <w:b/>
                <w:sz w:val="28"/>
                <w:szCs w:val="28"/>
              </w:rPr>
              <w:t>1.报价公司必须具备该产品经营资质，并提供相应证照;</w:t>
            </w:r>
          </w:p>
          <w:p w:rsidR="007312B1" w:rsidRPr="00DB1BE1" w:rsidRDefault="007312B1" w:rsidP="00DB1BE1">
            <w:pPr>
              <w:spacing w:line="400" w:lineRule="exact"/>
              <w:rPr>
                <w:b/>
                <w:sz w:val="28"/>
                <w:szCs w:val="28"/>
              </w:rPr>
            </w:pPr>
            <w:r w:rsidRPr="00DB1BE1">
              <w:rPr>
                <w:b/>
                <w:sz w:val="28"/>
                <w:szCs w:val="28"/>
              </w:rPr>
              <w:t>2.所报产品</w:t>
            </w:r>
            <w:r>
              <w:rPr>
                <w:b/>
                <w:sz w:val="28"/>
                <w:szCs w:val="28"/>
              </w:rPr>
              <w:t>最高限价</w:t>
            </w:r>
            <w:r>
              <w:rPr>
                <w:rFonts w:hint="eastAsia"/>
                <w:b/>
                <w:sz w:val="28"/>
                <w:szCs w:val="28"/>
              </w:rPr>
              <w:t>9.6万元，</w:t>
            </w:r>
            <w:r w:rsidRPr="00DB1BE1">
              <w:rPr>
                <w:b/>
                <w:sz w:val="28"/>
                <w:szCs w:val="28"/>
              </w:rPr>
              <w:t>必须满足附件参数要求，否则视为废标;</w:t>
            </w:r>
          </w:p>
          <w:p w:rsidR="007312B1" w:rsidRPr="00DB1BE1" w:rsidRDefault="007312B1" w:rsidP="00DB1BE1">
            <w:pPr>
              <w:spacing w:line="400" w:lineRule="exact"/>
              <w:rPr>
                <w:b/>
                <w:sz w:val="28"/>
                <w:szCs w:val="28"/>
              </w:rPr>
            </w:pPr>
            <w:r w:rsidRPr="00DB1BE1">
              <w:rPr>
                <w:b/>
                <w:sz w:val="28"/>
                <w:szCs w:val="28"/>
              </w:rPr>
              <w:t>3.报价表加盖公章密封，于</w:t>
            </w:r>
            <w:r w:rsidR="004B7EF0">
              <w:rPr>
                <w:rFonts w:hint="eastAsia"/>
                <w:b/>
                <w:sz w:val="28"/>
                <w:szCs w:val="28"/>
              </w:rPr>
              <w:t>9</w:t>
            </w:r>
            <w:r w:rsidRPr="00DB1BE1">
              <w:rPr>
                <w:b/>
                <w:sz w:val="28"/>
                <w:szCs w:val="28"/>
              </w:rPr>
              <w:t>月</w:t>
            </w:r>
            <w:r>
              <w:rPr>
                <w:rFonts w:hint="eastAsia"/>
                <w:b/>
                <w:sz w:val="28"/>
                <w:szCs w:val="28"/>
              </w:rPr>
              <w:t>2</w:t>
            </w:r>
            <w:r w:rsidR="004B7EF0">
              <w:rPr>
                <w:rFonts w:hint="eastAsia"/>
                <w:b/>
                <w:sz w:val="28"/>
                <w:szCs w:val="28"/>
              </w:rPr>
              <w:t>2</w:t>
            </w:r>
            <w:r w:rsidRPr="00DB1BE1">
              <w:rPr>
                <w:b/>
                <w:sz w:val="28"/>
                <w:szCs w:val="28"/>
              </w:rPr>
              <w:t xml:space="preserve">日16：00时前送至桐城市人民医院综合采购办公室，本着自愿原则，逾期视为放弃！   </w:t>
            </w:r>
          </w:p>
          <w:p w:rsidR="007312B1" w:rsidRPr="00A60737" w:rsidRDefault="007312B1" w:rsidP="00DB1BE1">
            <w:pPr>
              <w:spacing w:line="400" w:lineRule="exact"/>
              <w:rPr>
                <w:b/>
                <w:sz w:val="28"/>
                <w:szCs w:val="28"/>
              </w:rPr>
            </w:pPr>
            <w:r w:rsidRPr="00DB1BE1">
              <w:rPr>
                <w:b/>
                <w:sz w:val="28"/>
                <w:szCs w:val="28"/>
              </w:rPr>
              <w:t>4.不接收快递报价文件。</w:t>
            </w:r>
          </w:p>
        </w:tc>
      </w:tr>
    </w:tbl>
    <w:p w:rsidR="008A5B0C" w:rsidRDefault="008A5B0C" w:rsidP="008A5B0C">
      <w:r>
        <w:t xml:space="preserve">                                                                                      </w:t>
      </w:r>
      <w:r>
        <w:rPr>
          <w:rFonts w:hint="eastAsia"/>
        </w:rPr>
        <w:t xml:space="preserve">                                                          </w:t>
      </w:r>
      <w:r>
        <w:t xml:space="preserve"> </w:t>
      </w:r>
      <w:r>
        <w:rPr>
          <w:rFonts w:hint="eastAsia"/>
        </w:rPr>
        <w:t xml:space="preserve">            </w:t>
      </w:r>
    </w:p>
    <w:p w:rsidR="008A5B0C" w:rsidRDefault="008A5B0C" w:rsidP="008A5B0C">
      <w:pPr>
        <w:ind w:left="9840" w:hangingChars="4100" w:hanging="9840"/>
      </w:pPr>
      <w:r>
        <w:rPr>
          <w:rFonts w:hint="eastAsia"/>
        </w:rPr>
        <w:t xml:space="preserve">                                                                                  </w:t>
      </w:r>
      <w:r>
        <w:rPr>
          <w:rFonts w:hint="eastAsia"/>
          <w:sz w:val="28"/>
          <w:szCs w:val="28"/>
        </w:rPr>
        <w:t>桐城市人民医院</w:t>
      </w:r>
      <w:r>
        <w:rPr>
          <w:sz w:val="28"/>
          <w:szCs w:val="28"/>
        </w:rPr>
        <w:t xml:space="preserve"> </w:t>
      </w:r>
      <w:r>
        <w:rPr>
          <w:rFonts w:hint="eastAsia"/>
          <w:sz w:val="28"/>
          <w:szCs w:val="28"/>
        </w:rPr>
        <w:t>综合采购办公室</w:t>
      </w:r>
    </w:p>
    <w:p w:rsidR="009C16A8" w:rsidRDefault="008A5B0C" w:rsidP="009C16A8">
      <w:pPr>
        <w:spacing w:line="40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二零</w:t>
      </w:r>
      <w:r w:rsidR="008F4004">
        <w:rPr>
          <w:rFonts w:hint="eastAsia"/>
          <w:sz w:val="28"/>
          <w:szCs w:val="28"/>
        </w:rPr>
        <w:t>二零</w:t>
      </w:r>
      <w:r>
        <w:rPr>
          <w:rFonts w:hint="eastAsia"/>
          <w:sz w:val="28"/>
          <w:szCs w:val="28"/>
        </w:rPr>
        <w:t>年</w:t>
      </w:r>
      <w:r w:rsidR="004B7EF0">
        <w:rPr>
          <w:rFonts w:hint="eastAsia"/>
          <w:sz w:val="28"/>
          <w:szCs w:val="28"/>
        </w:rPr>
        <w:t>九</w:t>
      </w:r>
      <w:r>
        <w:rPr>
          <w:rFonts w:hint="eastAsia"/>
          <w:sz w:val="28"/>
          <w:szCs w:val="28"/>
        </w:rPr>
        <w:t>月</w:t>
      </w:r>
      <w:r w:rsidR="00E339C7">
        <w:rPr>
          <w:rFonts w:hint="eastAsia"/>
          <w:sz w:val="28"/>
          <w:szCs w:val="28"/>
        </w:rPr>
        <w:t>十</w:t>
      </w:r>
      <w:r w:rsidR="004B7EF0">
        <w:rPr>
          <w:rFonts w:hint="eastAsia"/>
          <w:sz w:val="28"/>
          <w:szCs w:val="28"/>
        </w:rPr>
        <w:t>五</w:t>
      </w:r>
      <w:r>
        <w:rPr>
          <w:rFonts w:hint="eastAsia"/>
          <w:sz w:val="28"/>
          <w:szCs w:val="28"/>
        </w:rPr>
        <w:t>日</w:t>
      </w:r>
    </w:p>
    <w:p w:rsidR="00F72C63" w:rsidRDefault="00F72C63" w:rsidP="00F72C63"/>
    <w:p w:rsidR="0062345C" w:rsidRPr="00993FBC" w:rsidRDefault="00993FBC" w:rsidP="00993FBC">
      <w:pPr>
        <w:rPr>
          <w:sz w:val="21"/>
          <w:szCs w:val="21"/>
        </w:rPr>
      </w:pPr>
      <w:r>
        <w:rPr>
          <w:rFonts w:hint="eastAsia"/>
          <w:sz w:val="21"/>
          <w:szCs w:val="21"/>
        </w:rPr>
        <w:lastRenderedPageBreak/>
        <w:t>一、</w:t>
      </w:r>
      <w:r w:rsidR="0062345C" w:rsidRPr="00993FBC">
        <w:rPr>
          <w:rFonts w:hint="eastAsia"/>
          <w:sz w:val="21"/>
          <w:szCs w:val="21"/>
        </w:rPr>
        <w:t>供应商资格要求</w:t>
      </w:r>
      <w:r>
        <w:rPr>
          <w:rFonts w:hint="eastAsia"/>
          <w:sz w:val="21"/>
          <w:szCs w:val="21"/>
        </w:rPr>
        <w:t>：</w:t>
      </w:r>
    </w:p>
    <w:p w:rsidR="0062345C" w:rsidRPr="00993FBC" w:rsidRDefault="0062345C" w:rsidP="00993FBC">
      <w:pPr>
        <w:rPr>
          <w:sz w:val="21"/>
          <w:szCs w:val="21"/>
        </w:rPr>
      </w:pPr>
      <w:r w:rsidRPr="00993FBC">
        <w:rPr>
          <w:rFonts w:hint="eastAsia"/>
          <w:sz w:val="21"/>
          <w:szCs w:val="21"/>
        </w:rPr>
        <w:t>1、具有工商行政管理部门颁发营业执照的独立法人资格、能够独立承担民事责任能力的生产厂家、代理商或经销商。</w:t>
      </w:r>
    </w:p>
    <w:p w:rsidR="0062345C" w:rsidRPr="00993FBC" w:rsidRDefault="0062345C" w:rsidP="00993FBC">
      <w:pPr>
        <w:rPr>
          <w:sz w:val="21"/>
          <w:szCs w:val="21"/>
        </w:rPr>
      </w:pPr>
      <w:r w:rsidRPr="00993FBC">
        <w:rPr>
          <w:rFonts w:hint="eastAsia"/>
          <w:sz w:val="21"/>
          <w:szCs w:val="21"/>
        </w:rPr>
        <w:t>2、供应商如为生产商，应具有《医疗器械经营许可证》或《第二类医疗器械经营备案凭证》、《医疗器械生产许可证》（须在有效期内）；供应商如为代理商，应具有《医疗器械经营许可证》或《第二类医疗器械经营备案凭证》（须在有效期内）。</w:t>
      </w:r>
    </w:p>
    <w:p w:rsidR="0062345C" w:rsidRPr="00993FBC" w:rsidRDefault="0062345C" w:rsidP="00993FBC">
      <w:pPr>
        <w:rPr>
          <w:sz w:val="21"/>
          <w:szCs w:val="21"/>
        </w:rPr>
      </w:pPr>
      <w:r w:rsidRPr="00993FBC">
        <w:rPr>
          <w:rFonts w:hint="eastAsia"/>
          <w:sz w:val="21"/>
          <w:szCs w:val="21"/>
        </w:rPr>
        <w:t>二、产品及供货要求</w:t>
      </w:r>
    </w:p>
    <w:p w:rsidR="0062345C" w:rsidRPr="00993FBC" w:rsidRDefault="0062345C" w:rsidP="00993FBC">
      <w:pPr>
        <w:rPr>
          <w:sz w:val="21"/>
          <w:szCs w:val="21"/>
        </w:rPr>
      </w:pPr>
      <w:r w:rsidRPr="00993FBC">
        <w:rPr>
          <w:rFonts w:hint="eastAsia"/>
          <w:sz w:val="21"/>
          <w:szCs w:val="21"/>
        </w:rPr>
        <w:t>1、产品须为合法企业生产，符合国家相关质量标准。</w:t>
      </w:r>
    </w:p>
    <w:p w:rsidR="0062345C" w:rsidRPr="00993FBC" w:rsidRDefault="0062345C" w:rsidP="00993FBC">
      <w:pPr>
        <w:rPr>
          <w:sz w:val="21"/>
          <w:szCs w:val="21"/>
        </w:rPr>
      </w:pPr>
      <w:r w:rsidRPr="00993FBC">
        <w:rPr>
          <w:rFonts w:hint="eastAsia"/>
          <w:sz w:val="21"/>
          <w:szCs w:val="21"/>
        </w:rPr>
        <w:t>2、投标要求与投标文件视为招标人与中标人签订中标购销协议的有效组成部分。</w:t>
      </w:r>
    </w:p>
    <w:p w:rsidR="0062345C" w:rsidRPr="00993FBC" w:rsidRDefault="0062345C" w:rsidP="00993FBC">
      <w:pPr>
        <w:rPr>
          <w:sz w:val="21"/>
          <w:szCs w:val="21"/>
        </w:rPr>
      </w:pPr>
      <w:r w:rsidRPr="00993FBC">
        <w:rPr>
          <w:rFonts w:hint="eastAsia"/>
          <w:sz w:val="21"/>
          <w:szCs w:val="21"/>
        </w:rPr>
        <w:t>3、投标人投标时必须提供产品彩页或照片以及产品说明、具体的规格型号。乙方在供货期内保证所提供的产品合格率100%，产品须为2022年生产的医疗设备，如出现不符合招标文件要求的产品，无条件退货。</w:t>
      </w:r>
    </w:p>
    <w:p w:rsidR="0062345C" w:rsidRPr="00993FBC" w:rsidRDefault="0062345C" w:rsidP="00993FBC">
      <w:pPr>
        <w:rPr>
          <w:sz w:val="21"/>
          <w:szCs w:val="21"/>
        </w:rPr>
      </w:pPr>
      <w:r w:rsidRPr="00993FBC">
        <w:rPr>
          <w:rFonts w:hint="eastAsia"/>
          <w:sz w:val="21"/>
          <w:szCs w:val="21"/>
        </w:rPr>
        <w:t>4、交货、安装、调试期：合同签订后（因新建医院）乙方根据甲方要求的时间内完成交货（具体采购数量应根据甲方要求分批或一次性采购）、安装、调试。乙方应对甲方的相关人员进行免费现场培训。培训内容包括基本操作、保养维修、常见故障及解决办法等,免费提供设备操作手册和维护保养手册。</w:t>
      </w:r>
    </w:p>
    <w:p w:rsidR="0062345C" w:rsidRPr="00993FBC" w:rsidRDefault="0062345C" w:rsidP="00993FBC">
      <w:pPr>
        <w:rPr>
          <w:sz w:val="21"/>
          <w:szCs w:val="21"/>
        </w:rPr>
      </w:pPr>
      <w:r w:rsidRPr="00993FBC">
        <w:rPr>
          <w:rFonts w:hint="eastAsia"/>
          <w:sz w:val="21"/>
          <w:szCs w:val="21"/>
        </w:rPr>
        <w:t>5、列出所有与设备相关的常备维修配件清单，标明品牌、型号、产地等并分项报价，供以后维修用。质保三年。</w:t>
      </w:r>
    </w:p>
    <w:p w:rsidR="00993FBC" w:rsidRPr="00993FBC" w:rsidRDefault="0062345C" w:rsidP="00993FBC">
      <w:pPr>
        <w:rPr>
          <w:sz w:val="21"/>
          <w:szCs w:val="21"/>
        </w:rPr>
      </w:pPr>
      <w:r w:rsidRPr="00993FBC">
        <w:rPr>
          <w:rFonts w:hint="eastAsia"/>
          <w:sz w:val="21"/>
          <w:szCs w:val="21"/>
        </w:rPr>
        <w:t>6、付款方式：合同签订后乙方根据甲方要求的时间内供货并安装调试，所有设备到场付50%，安装调试并经甲方验收合格后付至90%，</w:t>
      </w:r>
      <w:r w:rsidR="00993FBC" w:rsidRPr="00993FBC">
        <w:rPr>
          <w:rFonts w:hint="eastAsia"/>
          <w:sz w:val="21"/>
          <w:szCs w:val="21"/>
        </w:rPr>
        <w:t>余款10%按乙方所投质保期年限均摊付款（不计息）。</w:t>
      </w:r>
    </w:p>
    <w:p w:rsidR="00993FBC" w:rsidRPr="00993FBC" w:rsidRDefault="00993FBC" w:rsidP="00993FBC">
      <w:pPr>
        <w:rPr>
          <w:sz w:val="21"/>
          <w:szCs w:val="21"/>
        </w:rPr>
      </w:pPr>
      <w:r w:rsidRPr="00993FBC">
        <w:rPr>
          <w:rFonts w:hint="eastAsia"/>
          <w:sz w:val="21"/>
          <w:szCs w:val="21"/>
        </w:rPr>
        <w:t>7、星号项不满足按废标处理，非星号项六条不满足按废标处理，星号项需提供证明材料。</w:t>
      </w:r>
    </w:p>
    <w:p w:rsidR="00993FBC" w:rsidRPr="00993FBC" w:rsidRDefault="00993FBC" w:rsidP="00993FBC">
      <w:pPr>
        <w:rPr>
          <w:b/>
          <w:sz w:val="21"/>
          <w:szCs w:val="21"/>
        </w:rPr>
      </w:pPr>
      <w:r w:rsidRPr="00993FBC">
        <w:rPr>
          <w:rFonts w:hint="eastAsia"/>
          <w:sz w:val="21"/>
          <w:szCs w:val="21"/>
        </w:rPr>
        <w:t>三、</w:t>
      </w:r>
      <w:r w:rsidRPr="00993FBC">
        <w:rPr>
          <w:rFonts w:hint="eastAsia"/>
          <w:b/>
          <w:sz w:val="21"/>
          <w:szCs w:val="21"/>
        </w:rPr>
        <w:t>十二导心电图机</w:t>
      </w:r>
      <w:r>
        <w:rPr>
          <w:rFonts w:hint="eastAsia"/>
          <w:b/>
          <w:sz w:val="21"/>
          <w:szCs w:val="21"/>
        </w:rPr>
        <w:t>参数</w:t>
      </w:r>
      <w:r w:rsidRPr="00993FBC">
        <w:rPr>
          <w:rFonts w:hint="eastAsia"/>
          <w:b/>
          <w:sz w:val="21"/>
          <w:szCs w:val="21"/>
        </w:rPr>
        <w:t>：</w:t>
      </w:r>
    </w:p>
    <w:p w:rsidR="00993FBC" w:rsidRPr="00993FBC" w:rsidRDefault="00993FBC" w:rsidP="00993FBC">
      <w:pPr>
        <w:rPr>
          <w:sz w:val="21"/>
          <w:szCs w:val="21"/>
        </w:rPr>
      </w:pPr>
      <w:r w:rsidRPr="00993FBC">
        <w:rPr>
          <w:rFonts w:hint="eastAsia"/>
          <w:sz w:val="21"/>
          <w:szCs w:val="21"/>
        </w:rPr>
        <w:t>1.标准12导联、十二道同步采集,同步记录。</w:t>
      </w:r>
    </w:p>
    <w:p w:rsidR="00993FBC" w:rsidRPr="00993FBC" w:rsidRDefault="00993FBC" w:rsidP="00993FBC">
      <w:pPr>
        <w:rPr>
          <w:sz w:val="21"/>
          <w:szCs w:val="21"/>
        </w:rPr>
      </w:pPr>
      <w:r w:rsidRPr="00993FBC">
        <w:rPr>
          <w:rFonts w:hint="eastAsia"/>
          <w:sz w:val="21"/>
          <w:szCs w:val="21"/>
        </w:rPr>
        <w:t>2.输入回路电流:≤0.1μA 。</w:t>
      </w:r>
    </w:p>
    <w:p w:rsidR="00993FBC" w:rsidRPr="00993FBC" w:rsidRDefault="00993FBC" w:rsidP="00993FBC">
      <w:pPr>
        <w:rPr>
          <w:sz w:val="21"/>
          <w:szCs w:val="21"/>
        </w:rPr>
      </w:pPr>
      <w:r w:rsidRPr="00993FBC">
        <w:rPr>
          <w:rFonts w:hint="eastAsia"/>
          <w:sz w:val="21"/>
          <w:szCs w:val="21"/>
        </w:rPr>
        <w:t>3.定标电压:1mV±1% 。</w:t>
      </w:r>
    </w:p>
    <w:p w:rsidR="00993FBC" w:rsidRPr="00993FBC" w:rsidRDefault="00993FBC" w:rsidP="00993FBC">
      <w:pPr>
        <w:rPr>
          <w:sz w:val="21"/>
          <w:szCs w:val="21"/>
        </w:rPr>
      </w:pPr>
      <w:r w:rsidRPr="00993FBC">
        <w:rPr>
          <w:rFonts w:hint="eastAsia"/>
          <w:sz w:val="21"/>
          <w:szCs w:val="21"/>
        </w:rPr>
        <w:t>4.噪声电平：≤15μVp-</w:t>
      </w:r>
      <w:r w:rsidRPr="00993FBC">
        <w:rPr>
          <w:sz w:val="21"/>
          <w:szCs w:val="21"/>
        </w:rPr>
        <w:t>p</w:t>
      </w:r>
      <w:r w:rsidRPr="00993FBC">
        <w:rPr>
          <w:rFonts w:hint="eastAsia"/>
          <w:sz w:val="21"/>
          <w:szCs w:val="21"/>
        </w:rPr>
        <w:t>除颤保护 。</w:t>
      </w:r>
    </w:p>
    <w:p w:rsidR="00993FBC" w:rsidRPr="00993FBC" w:rsidRDefault="00993FBC" w:rsidP="00993FBC">
      <w:pPr>
        <w:rPr>
          <w:sz w:val="21"/>
          <w:szCs w:val="21"/>
        </w:rPr>
      </w:pPr>
      <w:r w:rsidRPr="00993FBC">
        <w:rPr>
          <w:rFonts w:hint="eastAsia"/>
          <w:sz w:val="21"/>
          <w:szCs w:val="21"/>
        </w:rPr>
        <w:t>5.采样速率:≥8000/s/ch 。</w:t>
      </w:r>
    </w:p>
    <w:p w:rsidR="00993FBC" w:rsidRPr="00993FBC" w:rsidRDefault="00993FBC" w:rsidP="00993FBC">
      <w:pPr>
        <w:rPr>
          <w:sz w:val="21"/>
          <w:szCs w:val="21"/>
        </w:rPr>
      </w:pPr>
      <w:r w:rsidRPr="00993FBC">
        <w:rPr>
          <w:rFonts w:hint="eastAsia"/>
          <w:sz w:val="21"/>
          <w:szCs w:val="21"/>
        </w:rPr>
        <w:t>6.道间干扰:≤0.5mm 。</w:t>
      </w:r>
    </w:p>
    <w:p w:rsidR="00993FBC" w:rsidRPr="00993FBC" w:rsidRDefault="00993FBC" w:rsidP="00993FBC">
      <w:pPr>
        <w:rPr>
          <w:sz w:val="21"/>
          <w:szCs w:val="21"/>
        </w:rPr>
      </w:pPr>
      <w:r w:rsidRPr="00993FBC">
        <w:rPr>
          <w:rFonts w:hint="eastAsia"/>
          <w:sz w:val="21"/>
          <w:szCs w:val="21"/>
        </w:rPr>
        <w:t>7.基线稳定性:灵敏度变化时（无信号输入）其位移不超过2mm 。</w:t>
      </w:r>
    </w:p>
    <w:p w:rsidR="00993FBC" w:rsidRPr="00993FBC" w:rsidRDefault="00993FBC" w:rsidP="00993FBC">
      <w:pPr>
        <w:rPr>
          <w:sz w:val="21"/>
          <w:szCs w:val="21"/>
        </w:rPr>
      </w:pPr>
      <w:r w:rsidRPr="00993FBC">
        <w:rPr>
          <w:rFonts w:hint="eastAsia"/>
          <w:sz w:val="21"/>
          <w:szCs w:val="21"/>
        </w:rPr>
        <w:t>8.温度漂移:在5-40℃温度范围内，基线漂移平均不超过0.5mm/℃ 。</w:t>
      </w:r>
    </w:p>
    <w:p w:rsidR="00993FBC" w:rsidRPr="00993FBC" w:rsidRDefault="00993FBC" w:rsidP="00993FBC">
      <w:pPr>
        <w:rPr>
          <w:sz w:val="21"/>
          <w:szCs w:val="21"/>
        </w:rPr>
      </w:pPr>
      <w:r w:rsidRPr="00993FBC">
        <w:rPr>
          <w:rFonts w:hint="eastAsia"/>
          <w:sz w:val="21"/>
          <w:szCs w:val="21"/>
        </w:rPr>
        <w:t>9.显示器：≥6英寸触摸彩色液晶显示器。可显示心电图坐标网格，可显示3、6、12道ECG波形、心率数、被检者信息、工作状态、操作程序菜单，电极脱落等参数。</w:t>
      </w:r>
    </w:p>
    <w:p w:rsidR="00993FBC" w:rsidRPr="00993FBC" w:rsidRDefault="00993FBC" w:rsidP="00993FBC">
      <w:pPr>
        <w:rPr>
          <w:sz w:val="21"/>
          <w:szCs w:val="21"/>
        </w:rPr>
      </w:pPr>
      <w:r w:rsidRPr="00993FBC">
        <w:rPr>
          <w:rFonts w:hint="eastAsia"/>
          <w:sz w:val="21"/>
          <w:szCs w:val="21"/>
        </w:rPr>
        <w:t>10.滤波器：具有交流、肌电、漂移和高频截止滤波器。</w:t>
      </w:r>
    </w:p>
    <w:p w:rsidR="00993FBC" w:rsidRPr="00993FBC" w:rsidRDefault="00993FBC" w:rsidP="00993FBC">
      <w:pPr>
        <w:rPr>
          <w:sz w:val="21"/>
          <w:szCs w:val="21"/>
        </w:rPr>
      </w:pPr>
      <w:r w:rsidRPr="00993FBC">
        <w:rPr>
          <w:rFonts w:hint="eastAsia"/>
          <w:sz w:val="21"/>
          <w:szCs w:val="21"/>
        </w:rPr>
        <w:t>11.除颤保护:标配具有抗除颤保护功能的导联线 。</w:t>
      </w:r>
    </w:p>
    <w:p w:rsidR="00993FBC" w:rsidRPr="00993FBC" w:rsidRDefault="00993FBC" w:rsidP="00993FBC">
      <w:pPr>
        <w:rPr>
          <w:sz w:val="21"/>
          <w:szCs w:val="21"/>
        </w:rPr>
      </w:pPr>
      <w:r w:rsidRPr="00993FBC">
        <w:rPr>
          <w:rFonts w:hint="eastAsia"/>
          <w:sz w:val="21"/>
          <w:szCs w:val="21"/>
        </w:rPr>
        <w:lastRenderedPageBreak/>
        <w:t>12.诊断功能:设备具有自诊断及故障提示功能 。</w:t>
      </w:r>
    </w:p>
    <w:p w:rsidR="00993FBC" w:rsidRPr="00993FBC" w:rsidRDefault="00993FBC" w:rsidP="00993FBC">
      <w:pPr>
        <w:rPr>
          <w:sz w:val="21"/>
          <w:szCs w:val="21"/>
        </w:rPr>
      </w:pPr>
      <w:r w:rsidRPr="00993FBC">
        <w:rPr>
          <w:rFonts w:hint="eastAsia"/>
          <w:sz w:val="21"/>
          <w:szCs w:val="21"/>
        </w:rPr>
        <w:t>13.检查方式:标准12导联检查、心律不齐检查、R-R测量检查、负荷后检查 。</w:t>
      </w:r>
    </w:p>
    <w:p w:rsidR="00993FBC" w:rsidRPr="00993FBC" w:rsidRDefault="00993FBC" w:rsidP="00993FBC">
      <w:pPr>
        <w:rPr>
          <w:sz w:val="21"/>
          <w:szCs w:val="21"/>
        </w:rPr>
      </w:pPr>
      <w:r w:rsidRPr="00993FBC">
        <w:rPr>
          <w:rFonts w:hint="eastAsia"/>
          <w:sz w:val="21"/>
          <w:szCs w:val="21"/>
        </w:rPr>
        <w:t>14.记录方式:具有自动记录、手动记录、回顾记录、延长记录、间隔记录、定时记录、压缩记录等方式。</w:t>
      </w:r>
    </w:p>
    <w:p w:rsidR="00993FBC" w:rsidRPr="00993FBC" w:rsidRDefault="00993FBC" w:rsidP="00993FBC">
      <w:pPr>
        <w:rPr>
          <w:sz w:val="21"/>
          <w:szCs w:val="21"/>
        </w:rPr>
      </w:pPr>
      <w:r w:rsidRPr="00993FBC">
        <w:rPr>
          <w:rFonts w:hint="eastAsia"/>
          <w:sz w:val="21"/>
          <w:szCs w:val="21"/>
        </w:rPr>
        <w:t>15记录相位:具有连续、同步和全部模式 。</w:t>
      </w:r>
    </w:p>
    <w:p w:rsidR="00993FBC" w:rsidRPr="00993FBC" w:rsidRDefault="00993FBC" w:rsidP="00993FBC">
      <w:pPr>
        <w:rPr>
          <w:sz w:val="21"/>
          <w:szCs w:val="21"/>
        </w:rPr>
      </w:pPr>
      <w:r w:rsidRPr="00993FBC">
        <w:rPr>
          <w:rFonts w:hint="eastAsia"/>
          <w:sz w:val="21"/>
          <w:szCs w:val="21"/>
        </w:rPr>
        <w:t>16.特征波形:具有主要波形和平均波形两种模式。</w:t>
      </w:r>
    </w:p>
    <w:p w:rsidR="00993FBC" w:rsidRPr="00993FBC" w:rsidRDefault="00993FBC" w:rsidP="00993FBC">
      <w:pPr>
        <w:rPr>
          <w:sz w:val="21"/>
          <w:szCs w:val="21"/>
        </w:rPr>
      </w:pPr>
      <w:r w:rsidRPr="00993FBC">
        <w:rPr>
          <w:rFonts w:hint="eastAsia"/>
          <w:sz w:val="21"/>
          <w:szCs w:val="21"/>
        </w:rPr>
        <w:t>★17.心电图机分析报告:1、心脏整体示意图 2、心脏正面示意图 3、心脏上方截面图 。</w:t>
      </w:r>
    </w:p>
    <w:p w:rsidR="00993FBC" w:rsidRPr="00993FBC" w:rsidRDefault="00993FBC" w:rsidP="00993FBC">
      <w:pPr>
        <w:rPr>
          <w:sz w:val="21"/>
          <w:szCs w:val="21"/>
        </w:rPr>
      </w:pPr>
      <w:r w:rsidRPr="00993FBC">
        <w:rPr>
          <w:rFonts w:hint="eastAsia"/>
          <w:sz w:val="21"/>
          <w:szCs w:val="21"/>
        </w:rPr>
        <w:t>18.回顾记录:可记录从按下那一时刻起一定时间段的心电图 。</w:t>
      </w:r>
    </w:p>
    <w:p w:rsidR="00993FBC" w:rsidRPr="00993FBC" w:rsidRDefault="00993FBC" w:rsidP="00993FBC">
      <w:pPr>
        <w:rPr>
          <w:sz w:val="21"/>
          <w:szCs w:val="21"/>
        </w:rPr>
      </w:pPr>
      <w:r w:rsidRPr="00993FBC">
        <w:rPr>
          <w:rFonts w:hint="eastAsia"/>
          <w:sz w:val="21"/>
          <w:szCs w:val="21"/>
        </w:rPr>
        <w:t>★19.简化波形缓冲略图:在测量波形画面，可以显示波形缓冲略图和心电波形。测量波形画面可以追溯显示暂时保存在内部存储器的最多1分钟的波形数据。</w:t>
      </w:r>
    </w:p>
    <w:p w:rsidR="00993FBC" w:rsidRPr="00993FBC" w:rsidRDefault="00993FBC" w:rsidP="00993FBC">
      <w:pPr>
        <w:rPr>
          <w:sz w:val="21"/>
          <w:szCs w:val="21"/>
        </w:rPr>
      </w:pPr>
      <w:r w:rsidRPr="00993FBC">
        <w:rPr>
          <w:rFonts w:hint="eastAsia"/>
          <w:sz w:val="21"/>
          <w:szCs w:val="21"/>
        </w:rPr>
        <w:t>20.分析结果：可提供支持诊断的概要报告、分析指南报告、注释解说报告、详细测量值报告。</w:t>
      </w:r>
    </w:p>
    <w:p w:rsidR="00993FBC" w:rsidRPr="00993FBC" w:rsidRDefault="00993FBC" w:rsidP="00993FBC">
      <w:pPr>
        <w:rPr>
          <w:sz w:val="21"/>
          <w:szCs w:val="21"/>
        </w:rPr>
      </w:pPr>
      <w:r w:rsidRPr="00993FBC">
        <w:rPr>
          <w:rFonts w:hint="eastAsia"/>
          <w:sz w:val="21"/>
          <w:szCs w:val="21"/>
        </w:rPr>
        <w:t>★21.分析方式：分析方式可分针对为婴幼儿、儿童、青少年男性、青少年女性、成年人。</w:t>
      </w:r>
    </w:p>
    <w:p w:rsidR="00993FBC" w:rsidRPr="00993FBC" w:rsidRDefault="00993FBC" w:rsidP="00993FBC">
      <w:pPr>
        <w:rPr>
          <w:sz w:val="21"/>
          <w:szCs w:val="21"/>
        </w:rPr>
      </w:pPr>
      <w:r w:rsidRPr="00993FBC">
        <w:rPr>
          <w:rFonts w:hint="eastAsia"/>
          <w:sz w:val="21"/>
          <w:szCs w:val="21"/>
        </w:rPr>
        <w:t>22.记录速度：5、10、12.5、25、50mm/s ±3%。</w:t>
      </w:r>
    </w:p>
    <w:p w:rsidR="00993FBC" w:rsidRPr="00993FBC" w:rsidRDefault="00993FBC" w:rsidP="00993FBC">
      <w:pPr>
        <w:rPr>
          <w:sz w:val="21"/>
          <w:szCs w:val="21"/>
        </w:rPr>
      </w:pPr>
      <w:r w:rsidRPr="00993FBC">
        <w:rPr>
          <w:rFonts w:hint="eastAsia"/>
          <w:sz w:val="21"/>
          <w:szCs w:val="21"/>
        </w:rPr>
        <w:t>23.记录道数：3 CH、3 CH +1（节律导联）、3 CH +2（节律导联）、6 CH、6 CH +1（节律导联）、12 CH 。</w:t>
      </w:r>
    </w:p>
    <w:p w:rsidR="00993FBC" w:rsidRPr="00993FBC" w:rsidRDefault="00993FBC" w:rsidP="00993FBC">
      <w:pPr>
        <w:rPr>
          <w:sz w:val="21"/>
          <w:szCs w:val="21"/>
        </w:rPr>
      </w:pPr>
      <w:r w:rsidRPr="00993FBC">
        <w:rPr>
          <w:rFonts w:hint="eastAsia"/>
          <w:sz w:val="21"/>
          <w:szCs w:val="21"/>
        </w:rPr>
        <w:t>24.增益切换：1/4、1/2、1、2、自动 。</w:t>
      </w:r>
    </w:p>
    <w:p w:rsidR="00993FBC" w:rsidRPr="00993FBC" w:rsidRDefault="00993FBC" w:rsidP="00993FBC">
      <w:pPr>
        <w:rPr>
          <w:sz w:val="21"/>
          <w:szCs w:val="21"/>
        </w:rPr>
      </w:pPr>
      <w:r w:rsidRPr="00993FBC">
        <w:rPr>
          <w:rFonts w:hint="eastAsia"/>
          <w:sz w:val="21"/>
          <w:szCs w:val="21"/>
        </w:rPr>
        <w:t>25.时间常数：≥3.2s 。</w:t>
      </w:r>
    </w:p>
    <w:p w:rsidR="00993FBC" w:rsidRPr="00993FBC" w:rsidRDefault="00993FBC" w:rsidP="00993FBC">
      <w:pPr>
        <w:rPr>
          <w:sz w:val="21"/>
          <w:szCs w:val="21"/>
        </w:rPr>
      </w:pPr>
      <w:r w:rsidRPr="00993FBC">
        <w:rPr>
          <w:rFonts w:hint="eastAsia"/>
          <w:sz w:val="21"/>
          <w:szCs w:val="21"/>
        </w:rPr>
        <w:t>26.ECG同步信号输出：≥ 5V 。</w:t>
      </w:r>
    </w:p>
    <w:p w:rsidR="00993FBC" w:rsidRPr="00993FBC" w:rsidRDefault="00993FBC" w:rsidP="00993FBC">
      <w:pPr>
        <w:rPr>
          <w:sz w:val="21"/>
          <w:szCs w:val="21"/>
        </w:rPr>
      </w:pPr>
      <w:r w:rsidRPr="00993FBC">
        <w:rPr>
          <w:rFonts w:hint="eastAsia"/>
          <w:sz w:val="21"/>
          <w:szCs w:val="21"/>
        </w:rPr>
        <w:t>27.基本测量值：心率、RR、PR、QRS、QT 间期、QTc、心电轴、SV1、RV5(6) 。</w:t>
      </w:r>
    </w:p>
    <w:p w:rsidR="00993FBC" w:rsidRPr="00993FBC" w:rsidRDefault="00993FBC" w:rsidP="00993FBC">
      <w:pPr>
        <w:rPr>
          <w:sz w:val="21"/>
          <w:szCs w:val="21"/>
        </w:rPr>
      </w:pPr>
      <w:r w:rsidRPr="00993FBC">
        <w:rPr>
          <w:rFonts w:hint="eastAsia"/>
          <w:sz w:val="21"/>
          <w:szCs w:val="21"/>
        </w:rPr>
        <w:t>28.接口类型:RS-232串口×2、USB接口×2、SD卡接口×1、LAN端口×1、ECG信号输出接口×1，等电位端子接口×1，患者导联线接口×1 。</w:t>
      </w:r>
    </w:p>
    <w:p w:rsidR="009C16A8" w:rsidRPr="00993FBC" w:rsidRDefault="00993FBC" w:rsidP="00993FBC">
      <w:pPr>
        <w:rPr>
          <w:sz w:val="21"/>
          <w:szCs w:val="21"/>
        </w:rPr>
      </w:pPr>
      <w:r w:rsidRPr="00993FBC">
        <w:rPr>
          <w:rFonts w:hint="eastAsia"/>
          <w:sz w:val="21"/>
          <w:szCs w:val="21"/>
        </w:rPr>
        <w:t>★29.网络功能:内置LAN接口(可选配无线网络)，能接入我院现有心电工作站网络系统。</w:t>
      </w:r>
    </w:p>
    <w:sectPr w:rsidR="009C16A8" w:rsidRPr="00993FBC"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BC" w:rsidRDefault="002838BC" w:rsidP="00CA2264">
      <w:r>
        <w:separator/>
      </w:r>
    </w:p>
  </w:endnote>
  <w:endnote w:type="continuationSeparator" w:id="0">
    <w:p w:rsidR="002838BC" w:rsidRDefault="002838BC"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BC" w:rsidRDefault="002838BC" w:rsidP="00CA2264">
      <w:r>
        <w:separator/>
      </w:r>
    </w:p>
  </w:footnote>
  <w:footnote w:type="continuationSeparator" w:id="0">
    <w:p w:rsidR="002838BC" w:rsidRDefault="002838BC"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E35DAE"/>
    <w:multiLevelType w:val="singleLevel"/>
    <w:tmpl w:val="EFE35DAE"/>
    <w:lvl w:ilvl="0">
      <w:start w:val="9"/>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DB7AD0C"/>
    <w:multiLevelType w:val="singleLevel"/>
    <w:tmpl w:val="1DB7AD0C"/>
    <w:lvl w:ilvl="0">
      <w:start w:val="1"/>
      <w:numFmt w:val="decimal"/>
      <w:suff w:val="nothing"/>
      <w:lvlText w:val="%1、"/>
      <w:lvlJc w:val="left"/>
    </w:lvl>
  </w:abstractNum>
  <w:abstractNum w:abstractNumId="7">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27ED1D17"/>
    <w:multiLevelType w:val="singleLevel"/>
    <w:tmpl w:val="27ED1D17"/>
    <w:lvl w:ilvl="0">
      <w:start w:val="5"/>
      <w:numFmt w:val="decimal"/>
      <w:suff w:val="nothing"/>
      <w:lvlText w:val="%1、"/>
      <w:lvlJc w:val="left"/>
      <w:pPr>
        <w:ind w:left="450" w:firstLine="0"/>
      </w:pPr>
    </w:lvl>
  </w:abstractNum>
  <w:abstractNum w:abstractNumId="9">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D53225C"/>
    <w:multiLevelType w:val="hybridMultilevel"/>
    <w:tmpl w:val="6FE40BD8"/>
    <w:lvl w:ilvl="0" w:tplc="6392389E">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2">
    <w:nsid w:val="58998996"/>
    <w:multiLevelType w:val="singleLevel"/>
    <w:tmpl w:val="58998996"/>
    <w:lvl w:ilvl="0">
      <w:start w:val="1"/>
      <w:numFmt w:val="decimal"/>
      <w:suff w:val="nothing"/>
      <w:lvlText w:val="%1、"/>
      <w:lvlJc w:val="left"/>
    </w:lvl>
  </w:abstractNum>
  <w:abstractNum w:abstractNumId="13">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14"/>
  </w:num>
  <w:num w:numId="3">
    <w:abstractNumId w:val="5"/>
  </w:num>
  <w:num w:numId="4">
    <w:abstractNumId w:val="9"/>
  </w:num>
  <w:num w:numId="5">
    <w:abstractNumId w:val="8"/>
  </w:num>
  <w:num w:numId="6">
    <w:abstractNumId w:val="11"/>
  </w:num>
  <w:num w:numId="7">
    <w:abstractNumId w:val="3"/>
  </w:num>
  <w:num w:numId="8">
    <w:abstractNumId w:val="2"/>
  </w:num>
  <w:num w:numId="9">
    <w:abstractNumId w:val="6"/>
  </w:num>
  <w:num w:numId="10">
    <w:abstractNumId w:val="0"/>
  </w:num>
  <w:num w:numId="11">
    <w:abstractNumId w:val="7"/>
  </w:num>
  <w:num w:numId="12">
    <w:abstractNumId w:val="4"/>
  </w:num>
  <w:num w:numId="13">
    <w:abstractNumId w:val="13"/>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307202"/>
  </w:hdrShapeDefaults>
  <w:footnotePr>
    <w:footnote w:id="-1"/>
    <w:footnote w:id="0"/>
  </w:footnotePr>
  <w:endnotePr>
    <w:endnote w:id="-1"/>
    <w:endnote w:id="0"/>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9376C"/>
    <w:rsid w:val="000A10D3"/>
    <w:rsid w:val="000A24C0"/>
    <w:rsid w:val="000A61FB"/>
    <w:rsid w:val="000B3844"/>
    <w:rsid w:val="000C4607"/>
    <w:rsid w:val="000D0D51"/>
    <w:rsid w:val="000D160C"/>
    <w:rsid w:val="000D2C38"/>
    <w:rsid w:val="000E095D"/>
    <w:rsid w:val="000E264C"/>
    <w:rsid w:val="000F44F3"/>
    <w:rsid w:val="00101BCD"/>
    <w:rsid w:val="0010330A"/>
    <w:rsid w:val="00130349"/>
    <w:rsid w:val="00135EBE"/>
    <w:rsid w:val="001421A3"/>
    <w:rsid w:val="001571C2"/>
    <w:rsid w:val="00171F5D"/>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1405"/>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838BC"/>
    <w:rsid w:val="00295005"/>
    <w:rsid w:val="002A2DB0"/>
    <w:rsid w:val="002A401B"/>
    <w:rsid w:val="002A6487"/>
    <w:rsid w:val="002B1A94"/>
    <w:rsid w:val="002B24F0"/>
    <w:rsid w:val="002C19A1"/>
    <w:rsid w:val="002D4B33"/>
    <w:rsid w:val="002E113F"/>
    <w:rsid w:val="002E7B73"/>
    <w:rsid w:val="002F6753"/>
    <w:rsid w:val="00301DF3"/>
    <w:rsid w:val="00305113"/>
    <w:rsid w:val="00305F0D"/>
    <w:rsid w:val="003077E9"/>
    <w:rsid w:val="0031014E"/>
    <w:rsid w:val="00314309"/>
    <w:rsid w:val="00317951"/>
    <w:rsid w:val="00323B43"/>
    <w:rsid w:val="003245CF"/>
    <w:rsid w:val="0033037E"/>
    <w:rsid w:val="003346DE"/>
    <w:rsid w:val="00343ECC"/>
    <w:rsid w:val="00350A44"/>
    <w:rsid w:val="00357B0B"/>
    <w:rsid w:val="003618CE"/>
    <w:rsid w:val="003618F3"/>
    <w:rsid w:val="0036441E"/>
    <w:rsid w:val="0036790B"/>
    <w:rsid w:val="00372108"/>
    <w:rsid w:val="00376BAA"/>
    <w:rsid w:val="00380095"/>
    <w:rsid w:val="0038064C"/>
    <w:rsid w:val="00382A13"/>
    <w:rsid w:val="0038359D"/>
    <w:rsid w:val="0038392B"/>
    <w:rsid w:val="00393815"/>
    <w:rsid w:val="00393935"/>
    <w:rsid w:val="003960D8"/>
    <w:rsid w:val="00397E74"/>
    <w:rsid w:val="003A439D"/>
    <w:rsid w:val="003B28F9"/>
    <w:rsid w:val="003D37D8"/>
    <w:rsid w:val="003E4210"/>
    <w:rsid w:val="003F0AAC"/>
    <w:rsid w:val="003F5796"/>
    <w:rsid w:val="00421E02"/>
    <w:rsid w:val="00434BEF"/>
    <w:rsid w:val="004358AB"/>
    <w:rsid w:val="00441FA4"/>
    <w:rsid w:val="00447DD4"/>
    <w:rsid w:val="004567F2"/>
    <w:rsid w:val="00456C0A"/>
    <w:rsid w:val="00465E47"/>
    <w:rsid w:val="0047131C"/>
    <w:rsid w:val="004752CB"/>
    <w:rsid w:val="00475A21"/>
    <w:rsid w:val="00480E48"/>
    <w:rsid w:val="004A2D36"/>
    <w:rsid w:val="004A4F69"/>
    <w:rsid w:val="004A53F6"/>
    <w:rsid w:val="004B7EF0"/>
    <w:rsid w:val="004D604F"/>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A3606"/>
    <w:rsid w:val="005A5388"/>
    <w:rsid w:val="005A79BE"/>
    <w:rsid w:val="005B4B3F"/>
    <w:rsid w:val="005C2D41"/>
    <w:rsid w:val="005C459C"/>
    <w:rsid w:val="005D179D"/>
    <w:rsid w:val="005E65B1"/>
    <w:rsid w:val="005E75A7"/>
    <w:rsid w:val="005F0B31"/>
    <w:rsid w:val="005F5D70"/>
    <w:rsid w:val="005F7300"/>
    <w:rsid w:val="006051CA"/>
    <w:rsid w:val="00614517"/>
    <w:rsid w:val="00617158"/>
    <w:rsid w:val="0062345C"/>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93547"/>
    <w:rsid w:val="00694329"/>
    <w:rsid w:val="006A5943"/>
    <w:rsid w:val="006B323E"/>
    <w:rsid w:val="006C2826"/>
    <w:rsid w:val="006C31E0"/>
    <w:rsid w:val="006D187D"/>
    <w:rsid w:val="006D1B2E"/>
    <w:rsid w:val="006E40B9"/>
    <w:rsid w:val="006E4A39"/>
    <w:rsid w:val="006F1845"/>
    <w:rsid w:val="006F3A8B"/>
    <w:rsid w:val="006F4DAA"/>
    <w:rsid w:val="007020F4"/>
    <w:rsid w:val="00707C14"/>
    <w:rsid w:val="00711A3E"/>
    <w:rsid w:val="00724AE4"/>
    <w:rsid w:val="007312B1"/>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77412"/>
    <w:rsid w:val="00881D34"/>
    <w:rsid w:val="00887E60"/>
    <w:rsid w:val="00896418"/>
    <w:rsid w:val="008A5B0C"/>
    <w:rsid w:val="008B2E15"/>
    <w:rsid w:val="008B39C0"/>
    <w:rsid w:val="008B7726"/>
    <w:rsid w:val="008B791D"/>
    <w:rsid w:val="008C2762"/>
    <w:rsid w:val="008C48E1"/>
    <w:rsid w:val="008D41B0"/>
    <w:rsid w:val="008D489A"/>
    <w:rsid w:val="008E2ED9"/>
    <w:rsid w:val="008E47E0"/>
    <w:rsid w:val="008F4004"/>
    <w:rsid w:val="008F4728"/>
    <w:rsid w:val="009032E2"/>
    <w:rsid w:val="00912AE4"/>
    <w:rsid w:val="00914AFB"/>
    <w:rsid w:val="00916B45"/>
    <w:rsid w:val="00923CE0"/>
    <w:rsid w:val="0094079B"/>
    <w:rsid w:val="0096184A"/>
    <w:rsid w:val="0096432C"/>
    <w:rsid w:val="00965403"/>
    <w:rsid w:val="00973B88"/>
    <w:rsid w:val="00975347"/>
    <w:rsid w:val="0098001F"/>
    <w:rsid w:val="009805C6"/>
    <w:rsid w:val="009833CF"/>
    <w:rsid w:val="0098491D"/>
    <w:rsid w:val="00990878"/>
    <w:rsid w:val="009927AE"/>
    <w:rsid w:val="009930A0"/>
    <w:rsid w:val="0099333B"/>
    <w:rsid w:val="00993FBC"/>
    <w:rsid w:val="0099597E"/>
    <w:rsid w:val="009B2F8A"/>
    <w:rsid w:val="009B745C"/>
    <w:rsid w:val="009C104D"/>
    <w:rsid w:val="009C16A8"/>
    <w:rsid w:val="009C2629"/>
    <w:rsid w:val="009D0048"/>
    <w:rsid w:val="009D2E86"/>
    <w:rsid w:val="009D634E"/>
    <w:rsid w:val="009E180C"/>
    <w:rsid w:val="009F0CFF"/>
    <w:rsid w:val="00A037F8"/>
    <w:rsid w:val="00A04D70"/>
    <w:rsid w:val="00A06AF2"/>
    <w:rsid w:val="00A07364"/>
    <w:rsid w:val="00A10916"/>
    <w:rsid w:val="00A12EB9"/>
    <w:rsid w:val="00A215C3"/>
    <w:rsid w:val="00A26522"/>
    <w:rsid w:val="00A274BE"/>
    <w:rsid w:val="00A30684"/>
    <w:rsid w:val="00A3543E"/>
    <w:rsid w:val="00A51E12"/>
    <w:rsid w:val="00A53156"/>
    <w:rsid w:val="00A61A04"/>
    <w:rsid w:val="00A73898"/>
    <w:rsid w:val="00A83D1E"/>
    <w:rsid w:val="00A872EA"/>
    <w:rsid w:val="00A96608"/>
    <w:rsid w:val="00AB01B6"/>
    <w:rsid w:val="00AC4519"/>
    <w:rsid w:val="00AE2875"/>
    <w:rsid w:val="00AF4CAF"/>
    <w:rsid w:val="00B0018C"/>
    <w:rsid w:val="00B11872"/>
    <w:rsid w:val="00B23B2C"/>
    <w:rsid w:val="00B31EA0"/>
    <w:rsid w:val="00B4145D"/>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D397A"/>
    <w:rsid w:val="00BE0B8B"/>
    <w:rsid w:val="00BE2D5A"/>
    <w:rsid w:val="00BE2DC0"/>
    <w:rsid w:val="00BE62FE"/>
    <w:rsid w:val="00BE7B5F"/>
    <w:rsid w:val="00BF1B2D"/>
    <w:rsid w:val="00BF3163"/>
    <w:rsid w:val="00BF4C9E"/>
    <w:rsid w:val="00BF5433"/>
    <w:rsid w:val="00C00673"/>
    <w:rsid w:val="00C01202"/>
    <w:rsid w:val="00C2328F"/>
    <w:rsid w:val="00C32C6C"/>
    <w:rsid w:val="00C35AB1"/>
    <w:rsid w:val="00C3726B"/>
    <w:rsid w:val="00C441E4"/>
    <w:rsid w:val="00C52878"/>
    <w:rsid w:val="00C67676"/>
    <w:rsid w:val="00C74D65"/>
    <w:rsid w:val="00CA2264"/>
    <w:rsid w:val="00CA5C97"/>
    <w:rsid w:val="00CA6808"/>
    <w:rsid w:val="00CB57E2"/>
    <w:rsid w:val="00CC0165"/>
    <w:rsid w:val="00CC2E07"/>
    <w:rsid w:val="00CC44BB"/>
    <w:rsid w:val="00CD607D"/>
    <w:rsid w:val="00CE672E"/>
    <w:rsid w:val="00D05C6A"/>
    <w:rsid w:val="00D10679"/>
    <w:rsid w:val="00D13F31"/>
    <w:rsid w:val="00D20689"/>
    <w:rsid w:val="00D20734"/>
    <w:rsid w:val="00D20B8C"/>
    <w:rsid w:val="00D214C1"/>
    <w:rsid w:val="00D25821"/>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338BA"/>
    <w:rsid w:val="00E339C7"/>
    <w:rsid w:val="00E34D29"/>
    <w:rsid w:val="00E41DC4"/>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77F0"/>
    <w:rsid w:val="00F00009"/>
    <w:rsid w:val="00F06861"/>
    <w:rsid w:val="00F1276F"/>
    <w:rsid w:val="00F1369D"/>
    <w:rsid w:val="00F267DF"/>
    <w:rsid w:val="00F41B05"/>
    <w:rsid w:val="00F42A4A"/>
    <w:rsid w:val="00F4338C"/>
    <w:rsid w:val="00F518A8"/>
    <w:rsid w:val="00F56916"/>
    <w:rsid w:val="00F6443F"/>
    <w:rsid w:val="00F65153"/>
    <w:rsid w:val="00F65839"/>
    <w:rsid w:val="00F65A3E"/>
    <w:rsid w:val="00F67E6B"/>
    <w:rsid w:val="00F71B0D"/>
    <w:rsid w:val="00F72C63"/>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semiHidden/>
    <w:rsid w:val="00CA2264"/>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semiHidden/>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paragraph" w:customStyle="1" w:styleId="1">
    <w:name w:val="列出段落1"/>
    <w:basedOn w:val="a"/>
    <w:uiPriority w:val="34"/>
    <w:qFormat/>
    <w:rsid w:val="00993FBC"/>
    <w:pPr>
      <w:widowControl w:val="0"/>
      <w:ind w:firstLineChars="200" w:firstLine="420"/>
      <w:jc w:val="both"/>
    </w:pPr>
    <w:rPr>
      <w:rFonts w:ascii="Times New Roman"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divs>
    <w:div w:id="50614493">
      <w:bodyDiv w:val="1"/>
      <w:marLeft w:val="0"/>
      <w:marRight w:val="0"/>
      <w:marTop w:val="0"/>
      <w:marBottom w:val="0"/>
      <w:divBdr>
        <w:top w:val="none" w:sz="0" w:space="0" w:color="auto"/>
        <w:left w:val="none" w:sz="0" w:space="0" w:color="auto"/>
        <w:bottom w:val="none" w:sz="0" w:space="0" w:color="auto"/>
        <w:right w:val="none" w:sz="0" w:space="0" w:color="auto"/>
      </w:divBdr>
    </w:div>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58101976">
      <w:bodyDiv w:val="1"/>
      <w:marLeft w:val="0"/>
      <w:marRight w:val="0"/>
      <w:marTop w:val="0"/>
      <w:marBottom w:val="0"/>
      <w:divBdr>
        <w:top w:val="none" w:sz="0" w:space="0" w:color="auto"/>
        <w:left w:val="none" w:sz="0" w:space="0" w:color="auto"/>
        <w:bottom w:val="none" w:sz="0" w:space="0" w:color="auto"/>
        <w:right w:val="none" w:sz="0" w:space="0" w:color="auto"/>
      </w:divBdr>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E9047F-4E86-4796-80D9-7E1DB3C0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195</cp:revision>
  <cp:lastPrinted>2022-09-15T08:51:00Z</cp:lastPrinted>
  <dcterms:created xsi:type="dcterms:W3CDTF">2018-04-19T01:25:00Z</dcterms:created>
  <dcterms:modified xsi:type="dcterms:W3CDTF">2022-09-15T08:51:00Z</dcterms:modified>
</cp:coreProperties>
</file>